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98C7" w14:textId="2B10EABF" w:rsidR="002A584F" w:rsidRDefault="00390F4D" w:rsidP="00C01A37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F917DD2" wp14:editId="54E8D1C5">
            <wp:simplePos x="0" y="0"/>
            <wp:positionH relativeFrom="page">
              <wp:posOffset>38735</wp:posOffset>
            </wp:positionH>
            <wp:positionV relativeFrom="page">
              <wp:posOffset>-40005</wp:posOffset>
            </wp:positionV>
            <wp:extent cx="10654665" cy="7537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MIA0005_Template_VMIA_wed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65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73AE4" w14:textId="77777777" w:rsidR="00C01A37" w:rsidRDefault="00C01A37" w:rsidP="00C01A37">
      <w:pPr>
        <w:pStyle w:val="Body"/>
      </w:pPr>
    </w:p>
    <w:p w14:paraId="26503986" w14:textId="77777777" w:rsidR="009E2C30" w:rsidRDefault="009E2C30" w:rsidP="009E2C30">
      <w:pPr>
        <w:pStyle w:val="Body"/>
      </w:pPr>
    </w:p>
    <w:p w14:paraId="0E63ADB9" w14:textId="0FFFDEF5" w:rsidR="00486D13" w:rsidRDefault="006524BF" w:rsidP="00152BF8">
      <w:pPr>
        <w:pStyle w:val="Title1"/>
      </w:pPr>
      <w:r>
        <w:br/>
      </w:r>
      <w:r w:rsidR="007F1D79">
        <w:t>A6</w:t>
      </w:r>
      <w:r>
        <w:t xml:space="preserve"> </w:t>
      </w:r>
      <w:r w:rsidR="007F1D79">
        <w:t>Articulate</w:t>
      </w:r>
      <w:r w:rsidR="00152BF8">
        <w:t xml:space="preserve"> </w:t>
      </w:r>
      <w:r>
        <w:t xml:space="preserve">Risk </w:t>
      </w:r>
      <w:r>
        <w:br/>
      </w:r>
      <w:r w:rsidR="00152BF8">
        <w:t>Appetite</w:t>
      </w:r>
      <w:r w:rsidR="007F1D79">
        <w:t xml:space="preserve"> &amp; Tolerance</w:t>
      </w:r>
      <w:r>
        <w:br/>
      </w:r>
    </w:p>
    <w:p w14:paraId="1B1390A2" w14:textId="02C44C2F" w:rsidR="00D27346" w:rsidRDefault="00D27346" w:rsidP="00990507">
      <w:pPr>
        <w:pStyle w:val="Heading10"/>
      </w:pPr>
    </w:p>
    <w:p w14:paraId="3FAB63D7" w14:textId="77777777" w:rsidR="00D27346" w:rsidRPr="00D27346" w:rsidRDefault="00D27346" w:rsidP="00990507">
      <w:pPr>
        <w:pStyle w:val="Heading10"/>
        <w:rPr>
          <w:sz w:val="16"/>
          <w:szCs w:val="16"/>
        </w:rPr>
      </w:pPr>
    </w:p>
    <w:p w14:paraId="1D3DA859" w14:textId="51573EDD" w:rsidR="00990507" w:rsidRPr="00151939" w:rsidRDefault="00990507" w:rsidP="00990507">
      <w:pPr>
        <w:pStyle w:val="Heading10"/>
      </w:pPr>
      <w:r w:rsidRPr="00151939">
        <w:t xml:space="preserve">Purpose and </w:t>
      </w:r>
      <w:r>
        <w:t>O</w:t>
      </w:r>
      <w:r w:rsidRPr="00151939">
        <w:t>utcomes</w:t>
      </w:r>
    </w:p>
    <w:p w14:paraId="3E948858" w14:textId="0F87FD8D" w:rsidR="00CC3F07" w:rsidRPr="00CC3F07" w:rsidRDefault="00CC3F07" w:rsidP="00CC3F07">
      <w:pPr>
        <w:keepNext/>
        <w:keepLines/>
        <w:numPr>
          <w:ilvl w:val="2"/>
          <w:numId w:val="0"/>
        </w:numPr>
        <w:tabs>
          <w:tab w:val="num" w:pos="0"/>
          <w:tab w:val="left" w:pos="1418"/>
          <w:tab w:val="left" w:pos="1701"/>
          <w:tab w:val="left" w:pos="1985"/>
        </w:tabs>
        <w:spacing w:before="60" w:after="0" w:line="240" w:lineRule="auto"/>
        <w:outlineLvl w:val="2"/>
        <w:rPr>
          <w:rFonts w:eastAsia="Times New Roman"/>
          <w:lang w:val="en-AU" w:eastAsia="en-AU"/>
        </w:rPr>
      </w:pPr>
      <w:r w:rsidRPr="00CC3F07">
        <w:rPr>
          <w:rFonts w:eastAsia="Times New Roman"/>
          <w:lang w:val="en-AU" w:eastAsia="en-AU"/>
        </w:rPr>
        <w:t xml:space="preserve">This guide includes questions, considerations and supporting material which will help you </w:t>
      </w:r>
      <w:r>
        <w:rPr>
          <w:rFonts w:eastAsia="Times New Roman"/>
          <w:lang w:val="en-AU" w:eastAsia="en-AU"/>
        </w:rPr>
        <w:t xml:space="preserve">to articulate your </w:t>
      </w:r>
      <w:r w:rsidR="00B27AFF">
        <w:rPr>
          <w:rFonts w:eastAsia="Times New Roman"/>
          <w:lang w:val="en-AU" w:eastAsia="en-AU"/>
        </w:rPr>
        <w:t>r</w:t>
      </w:r>
      <w:r>
        <w:rPr>
          <w:rFonts w:eastAsia="Times New Roman"/>
          <w:lang w:val="en-AU" w:eastAsia="en-AU"/>
        </w:rPr>
        <w:t xml:space="preserve">isk </w:t>
      </w:r>
      <w:r w:rsidR="00B27AFF">
        <w:rPr>
          <w:rFonts w:eastAsia="Times New Roman"/>
          <w:lang w:val="en-AU" w:eastAsia="en-AU"/>
        </w:rPr>
        <w:t>a</w:t>
      </w:r>
      <w:r>
        <w:rPr>
          <w:rFonts w:eastAsia="Times New Roman"/>
          <w:lang w:val="en-AU" w:eastAsia="en-AU"/>
        </w:rPr>
        <w:t xml:space="preserve">ppetite and </w:t>
      </w:r>
      <w:r w:rsidR="00B27AFF">
        <w:rPr>
          <w:rFonts w:eastAsia="Times New Roman"/>
          <w:lang w:val="en-AU" w:eastAsia="en-AU"/>
        </w:rPr>
        <w:t>t</w:t>
      </w:r>
      <w:r>
        <w:rPr>
          <w:rFonts w:eastAsia="Times New Roman"/>
          <w:lang w:val="en-AU" w:eastAsia="en-AU"/>
        </w:rPr>
        <w:t>olerance</w:t>
      </w:r>
      <w:r w:rsidRPr="00CC3F07">
        <w:rPr>
          <w:rFonts w:eastAsia="Times New Roman"/>
          <w:lang w:val="en-AU" w:eastAsia="en-AU"/>
        </w:rPr>
        <w:t>.</w:t>
      </w:r>
    </w:p>
    <w:p w14:paraId="26EDB7DC" w14:textId="6BF065C7" w:rsidR="00B540AA" w:rsidRDefault="00CC3F07" w:rsidP="00CC3F07">
      <w:pPr>
        <w:spacing w:after="0" w:line="240" w:lineRule="auto"/>
      </w:pPr>
      <w:r w:rsidRPr="00CC3F07">
        <w:t xml:space="preserve">The information in this guide will support you in considering the key components of your Risk </w:t>
      </w:r>
      <w:r>
        <w:rPr>
          <w:rFonts w:eastAsia="Times New Roman"/>
          <w:lang w:val="en-AU" w:eastAsia="en-AU"/>
        </w:rPr>
        <w:t>Appetite and Tolerance.</w:t>
      </w:r>
    </w:p>
    <w:p w14:paraId="7C4404E6" w14:textId="2E08ABFC" w:rsidR="00782D1E" w:rsidRPr="00151939" w:rsidRDefault="00990507" w:rsidP="00782D1E">
      <w:pPr>
        <w:pStyle w:val="Heading10"/>
      </w:pPr>
      <w:r>
        <w:t>Context</w:t>
      </w:r>
    </w:p>
    <w:p w14:paraId="362D48CC" w14:textId="7AF77A0F" w:rsidR="00CC3F07" w:rsidRDefault="00B841D8" w:rsidP="008B00A3">
      <w:pPr>
        <w:spacing w:after="0" w:line="240" w:lineRule="auto"/>
      </w:pPr>
      <w:r>
        <w:t>T</w:t>
      </w:r>
      <w:r w:rsidR="008B00A3">
        <w:t>he purpose of risk management is to add and protect value</w:t>
      </w:r>
      <w:r>
        <w:t>. Articulating</w:t>
      </w:r>
      <w:r w:rsidR="008B00A3">
        <w:t xml:space="preserve"> risk appetite </w:t>
      </w:r>
      <w:r>
        <w:t>is a part of</w:t>
      </w:r>
      <w:r w:rsidR="008B00A3">
        <w:t xml:space="preserve"> informed </w:t>
      </w:r>
      <w:r>
        <w:t>decision making</w:t>
      </w:r>
      <w:r w:rsidR="00CC3F07">
        <w:t>.</w:t>
      </w:r>
      <w:r w:rsidR="00754DA8">
        <w:t xml:space="preserve"> The diagram on Page 3 </w:t>
      </w:r>
      <w:r w:rsidR="00144D5B">
        <w:t>highlights the</w:t>
      </w:r>
      <w:r w:rsidR="0026339B">
        <w:t xml:space="preserve"> centrality of this.</w:t>
      </w:r>
      <w:r w:rsidR="0026339B" w:rsidRPr="0026339B">
        <w:t xml:space="preserve"> </w:t>
      </w:r>
      <w:r w:rsidR="0026339B">
        <w:t>Articulating risk appetite also provides freedom within boundaries</w:t>
      </w:r>
    </w:p>
    <w:p w14:paraId="3CEF61B3" w14:textId="5F2A1894" w:rsidR="008B00A3" w:rsidRDefault="008B00A3" w:rsidP="008B00A3">
      <w:pPr>
        <w:spacing w:after="0" w:line="240" w:lineRule="auto"/>
      </w:pPr>
    </w:p>
    <w:p w14:paraId="4DFD57D4" w14:textId="4B6955C1" w:rsidR="008B00A3" w:rsidRDefault="008B00A3" w:rsidP="004E4B60">
      <w:pPr>
        <w:spacing w:after="0"/>
      </w:pPr>
      <w:r>
        <w:t xml:space="preserve">Boards/Executive and those </w:t>
      </w:r>
      <w:r w:rsidR="00CC3F07">
        <w:t>who set the strategic direction articulate and review risk appetite and tolerance when required.  This may be when there is</w:t>
      </w:r>
      <w:r w:rsidR="004E4B60">
        <w:t xml:space="preserve"> a</w:t>
      </w:r>
      <w:r w:rsidR="00CC3F07">
        <w:t>:</w:t>
      </w:r>
    </w:p>
    <w:p w14:paraId="2A9F31A0" w14:textId="77777777" w:rsidR="004E4B60" w:rsidRDefault="004E4B60" w:rsidP="004E4B60">
      <w:pPr>
        <w:pStyle w:val="ListParagraph"/>
        <w:numPr>
          <w:ilvl w:val="0"/>
          <w:numId w:val="22"/>
        </w:numPr>
        <w:spacing w:before="0"/>
      </w:pPr>
      <w:r>
        <w:t>Change in Board or Executive</w:t>
      </w:r>
    </w:p>
    <w:p w14:paraId="383F98A6" w14:textId="2B3E54FF" w:rsidR="004E4B60" w:rsidRDefault="004E4B60" w:rsidP="004E4B60">
      <w:pPr>
        <w:pStyle w:val="ListParagraph"/>
        <w:numPr>
          <w:ilvl w:val="0"/>
          <w:numId w:val="22"/>
        </w:numPr>
      </w:pPr>
      <w:r>
        <w:t>Material change to purpose of organisation (expansion, contraction, merger /</w:t>
      </w:r>
      <w:r w:rsidR="0034441E">
        <w:t xml:space="preserve"> </w:t>
      </w:r>
      <w:r>
        <w:t>acquisition)</w:t>
      </w:r>
    </w:p>
    <w:p w14:paraId="7ACFE3C1" w14:textId="11A069D9" w:rsidR="004E4B60" w:rsidRDefault="004E4B60" w:rsidP="004E4B60">
      <w:pPr>
        <w:pStyle w:val="ListParagraph"/>
        <w:numPr>
          <w:ilvl w:val="0"/>
          <w:numId w:val="22"/>
        </w:numPr>
      </w:pPr>
      <w:r>
        <w:t>Change to strategy</w:t>
      </w:r>
    </w:p>
    <w:p w14:paraId="14615FF2" w14:textId="263865A4" w:rsidR="004E4B60" w:rsidRDefault="004E4B60" w:rsidP="004E4B60">
      <w:pPr>
        <w:pStyle w:val="ListParagraph"/>
        <w:numPr>
          <w:ilvl w:val="0"/>
          <w:numId w:val="22"/>
        </w:numPr>
      </w:pPr>
      <w:r>
        <w:t>Scheduled review</w:t>
      </w:r>
    </w:p>
    <w:p w14:paraId="00139671" w14:textId="77777777" w:rsidR="004E4B60" w:rsidRDefault="004E4B60" w:rsidP="004E4B60">
      <w:pPr>
        <w:spacing w:after="0" w:line="240" w:lineRule="auto"/>
      </w:pPr>
    </w:p>
    <w:p w14:paraId="203F832C" w14:textId="5669BE25" w:rsidR="008B00A3" w:rsidRPr="0047316E" w:rsidRDefault="004E4B60" w:rsidP="004E4B60">
      <w:pPr>
        <w:spacing w:after="0" w:line="240" w:lineRule="auto"/>
      </w:pPr>
      <w:r>
        <w:t xml:space="preserve">Risk appetite and tolerance </w:t>
      </w:r>
      <w:r w:rsidR="00B841D8">
        <w:t>can be applied to</w:t>
      </w:r>
      <w:r>
        <w:t>:</w:t>
      </w:r>
    </w:p>
    <w:p w14:paraId="4497AF58" w14:textId="77777777" w:rsidR="008B00A3" w:rsidRDefault="008B00A3" w:rsidP="004E4B60">
      <w:pPr>
        <w:pStyle w:val="ListParagraph"/>
        <w:numPr>
          <w:ilvl w:val="0"/>
          <w:numId w:val="22"/>
        </w:numPr>
        <w:spacing w:before="0"/>
      </w:pPr>
      <w:r>
        <w:t>Strategic direction setting</w:t>
      </w:r>
    </w:p>
    <w:p w14:paraId="501AE13A" w14:textId="57C39B3F" w:rsidR="004E4B60" w:rsidRDefault="008B00A3" w:rsidP="004E4B60">
      <w:pPr>
        <w:pStyle w:val="ListParagraph"/>
        <w:numPr>
          <w:ilvl w:val="0"/>
          <w:numId w:val="22"/>
        </w:numPr>
        <w:spacing w:before="0"/>
      </w:pPr>
      <w:r>
        <w:t>Crit</w:t>
      </w:r>
      <w:r w:rsidR="00B841D8">
        <w:t>ical / material decision making.</w:t>
      </w:r>
    </w:p>
    <w:p w14:paraId="4700C107" w14:textId="44B4E06C" w:rsidR="004E4B60" w:rsidRDefault="004E4B60" w:rsidP="004E4B60"/>
    <w:p w14:paraId="1979F302" w14:textId="77777777" w:rsidR="00CB288A" w:rsidRPr="00DB0E45" w:rsidRDefault="00CB288A" w:rsidP="00CB288A">
      <w:pPr>
        <w:pStyle w:val="Heading10"/>
      </w:pPr>
      <w:r w:rsidRPr="00DB0E45">
        <w:t>Supporting Documents</w:t>
      </w:r>
    </w:p>
    <w:p w14:paraId="766C5DC1" w14:textId="3A21B9CC" w:rsidR="00CB288A" w:rsidRDefault="004F3CF4" w:rsidP="0034441E">
      <w:pPr>
        <w:pStyle w:val="Body"/>
        <w:spacing w:after="240"/>
        <w:rPr>
          <w:rStyle w:val="Hyperlink"/>
          <w:rFonts w:eastAsiaTheme="minorEastAsia"/>
          <w:u w:val="none"/>
          <w:lang w:val="en-US"/>
        </w:rPr>
      </w:pPr>
      <w:hyperlink r:id="rId10" w:history="1">
        <w:r w:rsidR="00CB288A" w:rsidRPr="00F4305C">
          <w:rPr>
            <w:rStyle w:val="Hyperlink"/>
            <w:rFonts w:eastAsiaTheme="minorEastAsia"/>
            <w:u w:val="none"/>
            <w:lang w:val="en-US"/>
          </w:rPr>
          <w:t>Victorian Government Risk Management Framework (VGRMF) Practice Guide</w:t>
        </w:r>
      </w:hyperlink>
      <w:r w:rsidR="00FB2677">
        <w:rPr>
          <w:rStyle w:val="Hyperlink"/>
          <w:rFonts w:eastAsiaTheme="minorEastAsia"/>
          <w:u w:val="none"/>
          <w:lang w:val="en-US"/>
        </w:rPr>
        <w:t xml:space="preserve"> </w:t>
      </w:r>
      <w:r w:rsidR="00A66A77" w:rsidRPr="00EB53B6">
        <w:rPr>
          <w:rStyle w:val="Hyperlink"/>
          <w:rFonts w:eastAsiaTheme="minorEastAsia"/>
          <w:color w:val="auto"/>
          <w:u w:val="none"/>
          <w:lang w:val="en-US"/>
        </w:rPr>
        <w:t>(</w:t>
      </w:r>
      <w:r w:rsidR="00A66A77" w:rsidRPr="00EB53B6">
        <w:t>2/ 16 - V3)</w:t>
      </w:r>
    </w:p>
    <w:p w14:paraId="65569968" w14:textId="670AA847" w:rsidR="00486D13" w:rsidRDefault="00486D13" w:rsidP="00911F6E">
      <w:pPr>
        <w:pStyle w:val="Heading10"/>
      </w:pPr>
      <w:r>
        <w:t xml:space="preserve">Risk </w:t>
      </w:r>
      <w:r w:rsidRPr="00911F6E">
        <w:t>Management</w:t>
      </w:r>
      <w:r>
        <w:t xml:space="preserve"> Glossary</w:t>
      </w:r>
    </w:p>
    <w:tbl>
      <w:tblPr>
        <w:tblStyle w:val="TableGrid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7E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69"/>
      </w:tblGrid>
      <w:tr w:rsidR="00911F6E" w14:paraId="5EC6D04B" w14:textId="77777777" w:rsidTr="000F3164">
        <w:trPr>
          <w:trHeight w:val="283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00A7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7769E7" w14:textId="1632AECB" w:rsidR="00911F6E" w:rsidRPr="00486D13" w:rsidRDefault="00911F6E" w:rsidP="000F3164">
            <w:pPr>
              <w:pStyle w:val="TableHeading"/>
            </w:pPr>
            <w:r w:rsidRPr="004E30B9">
              <w:t>Term</w:t>
            </w: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00A7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267799" w14:textId="31686EC6" w:rsidR="00911F6E" w:rsidRPr="00486D13" w:rsidRDefault="00911F6E" w:rsidP="000F3164">
            <w:pPr>
              <w:pStyle w:val="TableHeading"/>
            </w:pPr>
            <w:r w:rsidRPr="004E30B9">
              <w:t>Definition</w:t>
            </w:r>
          </w:p>
        </w:tc>
      </w:tr>
      <w:tr w:rsidR="00CB288A" w14:paraId="50BD6D59" w14:textId="77777777" w:rsidTr="003730EA">
        <w:trPr>
          <w:trHeight w:val="559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2F1071" w14:textId="35E1892C" w:rsidR="00CB288A" w:rsidRPr="009E2C30" w:rsidRDefault="00953DB9" w:rsidP="00CB288A">
            <w:pPr>
              <w:pStyle w:val="TableBoldBodyBlue"/>
            </w:pPr>
            <w:r>
              <w:t xml:space="preserve">Key </w:t>
            </w:r>
            <w:r w:rsidR="00E557F5">
              <w:t>p</w:t>
            </w:r>
            <w:r>
              <w:t xml:space="preserve">erformance </w:t>
            </w:r>
            <w:r w:rsidR="00E557F5">
              <w:t>i</w:t>
            </w:r>
            <w:r>
              <w:t>ndicator (KPI)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6656B" w14:textId="312BCA2C" w:rsidR="00CB288A" w:rsidRPr="009E2C30" w:rsidRDefault="00953DB9" w:rsidP="000F3164">
            <w:pPr>
              <w:pStyle w:val="TableBody"/>
            </w:pPr>
            <w:r>
              <w:t>A</w:t>
            </w:r>
            <w:r w:rsidRPr="00953DB9">
              <w:t xml:space="preserve"> measurable value that demonstrates how effectively a company is achieving key business objectives. Organizations use key performance indicators at multiple levels to evaluate their success at reaching targets.</w:t>
            </w:r>
          </w:p>
        </w:tc>
      </w:tr>
      <w:tr w:rsidR="00953DB9" w14:paraId="3347522D" w14:textId="77777777" w:rsidTr="003730EA">
        <w:trPr>
          <w:trHeight w:val="559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B8F11" w14:textId="515D4894" w:rsidR="00953DB9" w:rsidRPr="00F96D5B" w:rsidRDefault="00953DB9" w:rsidP="00CB288A">
            <w:pPr>
              <w:pStyle w:val="TableBoldBodyBlue"/>
              <w:rPr>
                <w:rFonts w:eastAsiaTheme="minorEastAsia"/>
                <w:lang w:val="en-US"/>
              </w:rPr>
            </w:pPr>
            <w:r>
              <w:t xml:space="preserve">Key </w:t>
            </w:r>
            <w:r w:rsidR="00E557F5">
              <w:t>r</w:t>
            </w:r>
            <w:r>
              <w:t xml:space="preserve">isk </w:t>
            </w:r>
            <w:r w:rsidR="00E557F5">
              <w:t>i</w:t>
            </w:r>
            <w:r>
              <w:t>ndicator (KRI)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6C3C04" w14:textId="46889B37" w:rsidR="00953DB9" w:rsidRPr="001B2FB0" w:rsidRDefault="001B2FB0" w:rsidP="000F3164">
            <w:pPr>
              <w:pStyle w:val="TableBody"/>
              <w:rPr>
                <w:lang w:val="en-AU"/>
              </w:rPr>
            </w:pPr>
            <w:r w:rsidRPr="001B2FB0">
              <w:t xml:space="preserve">A key risk indicator is a </w:t>
            </w:r>
            <w:r w:rsidRPr="001B2FB0">
              <w:rPr>
                <w:bCs/>
              </w:rPr>
              <w:t>lead indicator</w:t>
            </w:r>
            <w:r w:rsidRPr="001B2FB0">
              <w:rPr>
                <w:b/>
                <w:bCs/>
              </w:rPr>
              <w:t xml:space="preserve"> </w:t>
            </w:r>
            <w:r w:rsidRPr="001B2FB0">
              <w:t>that identifies whether the likelihood of a risk event occurring is increasing or decreasing</w:t>
            </w:r>
            <w:r w:rsidRPr="001B2FB0">
              <w:rPr>
                <w:b/>
                <w:bCs/>
              </w:rPr>
              <w:t xml:space="preserve">. </w:t>
            </w:r>
          </w:p>
        </w:tc>
      </w:tr>
      <w:tr w:rsidR="00AF4466" w14:paraId="4D03EDEA" w14:textId="77777777" w:rsidTr="00144D5B">
        <w:trPr>
          <w:trHeight w:val="260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849C8" w14:textId="256C0939" w:rsidR="00AF4466" w:rsidRDefault="00AF4466" w:rsidP="00CB288A">
            <w:pPr>
              <w:pStyle w:val="TableBoldBodyBlue"/>
            </w:pPr>
            <w:r>
              <w:t>Risk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323E0" w14:textId="3B10F629" w:rsidR="00AF4466" w:rsidRPr="00953DB9" w:rsidRDefault="00120226" w:rsidP="000F3164">
            <w:pPr>
              <w:pStyle w:val="TableBody"/>
            </w:pPr>
            <w:r>
              <w:t>The effect of uncertainty on objectives.</w:t>
            </w:r>
          </w:p>
        </w:tc>
      </w:tr>
      <w:tr w:rsidR="00953DB9" w14:paraId="24858C67" w14:textId="77777777" w:rsidTr="009E2C30">
        <w:trPr>
          <w:trHeight w:val="283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8E657" w14:textId="0EF23162" w:rsidR="00953DB9" w:rsidRPr="009E2C30" w:rsidRDefault="00953DB9" w:rsidP="00953DB9">
            <w:pPr>
              <w:pStyle w:val="TableBoldBodyBlue"/>
            </w:pPr>
            <w:r w:rsidRPr="00F96D5B">
              <w:rPr>
                <w:rFonts w:eastAsiaTheme="minorEastAsia"/>
                <w:lang w:val="en-US"/>
              </w:rPr>
              <w:t>Risk appetite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9635B" w14:textId="14B164F0" w:rsidR="00953DB9" w:rsidRPr="009E2C30" w:rsidRDefault="00B75C13" w:rsidP="00B75C13">
            <w:pPr>
              <w:spacing w:after="0" w:line="240" w:lineRule="auto"/>
            </w:pPr>
            <w:r>
              <w:t xml:space="preserve">The </w:t>
            </w:r>
            <w:r w:rsidR="00120226">
              <w:t xml:space="preserve">amount </w:t>
            </w:r>
            <w:r>
              <w:t xml:space="preserve">and </w:t>
            </w:r>
            <w:r w:rsidR="00120226">
              <w:t xml:space="preserve">type </w:t>
            </w:r>
            <w:r>
              <w:t>of risk that an organisation is willing to pursue or retain.</w:t>
            </w:r>
          </w:p>
        </w:tc>
      </w:tr>
      <w:tr w:rsidR="00953DB9" w14:paraId="623A4E14" w14:textId="77777777" w:rsidTr="009E2C30">
        <w:trPr>
          <w:trHeight w:val="283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D752E" w14:textId="5B97D59E" w:rsidR="00953DB9" w:rsidRPr="009E2C30" w:rsidRDefault="00953DB9" w:rsidP="00953DB9">
            <w:pPr>
              <w:pStyle w:val="TableBoldBodyBlue"/>
            </w:pPr>
            <w:r w:rsidRPr="00F96D5B">
              <w:rPr>
                <w:rFonts w:eastAsiaTheme="minorEastAsia"/>
                <w:lang w:val="en-US"/>
              </w:rPr>
              <w:t>Risk tolerance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B5318A" w14:textId="6AEAFBF1" w:rsidR="00953DB9" w:rsidRPr="009E2C30" w:rsidRDefault="00953DB9" w:rsidP="00953DB9">
            <w:pPr>
              <w:pStyle w:val="TableBody"/>
            </w:pPr>
            <w:r w:rsidRPr="00F96D5B">
              <w:t xml:space="preserve">The agency’s readiness to bear the risk after risk treatment </w:t>
            </w:r>
            <w:proofErr w:type="gramStart"/>
            <w:r w:rsidRPr="00F96D5B">
              <w:t>in order to</w:t>
            </w:r>
            <w:proofErr w:type="gramEnd"/>
            <w:r w:rsidRPr="00F96D5B">
              <w:t xml:space="preserve"> achieve objectives. Risk tolerances are based on the maximum level of acceptable risk and may be expressed in various ways depending on the nature of the risk.</w:t>
            </w:r>
          </w:p>
        </w:tc>
      </w:tr>
      <w:tr w:rsidR="00144D5B" w14:paraId="03B40E95" w14:textId="77777777" w:rsidTr="009E2C30">
        <w:trPr>
          <w:trHeight w:val="283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A7FDCB" w14:textId="3C3F880E" w:rsidR="00144D5B" w:rsidRPr="00F96D5B" w:rsidRDefault="00144D5B" w:rsidP="00953DB9">
            <w:pPr>
              <w:pStyle w:val="TableBoldBodyBlue"/>
              <w:rPr>
                <w:rFonts w:eastAsiaTheme="minorEastAsia"/>
                <w:lang w:val="en-US"/>
              </w:rPr>
            </w:pPr>
            <w:r>
              <w:t>Strategic direction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02764" w14:textId="085E2DA3" w:rsidR="00144D5B" w:rsidRPr="00F96D5B" w:rsidRDefault="00670270" w:rsidP="00953DB9">
            <w:pPr>
              <w:pStyle w:val="TableBody"/>
            </w:pPr>
            <w:r>
              <w:t>Vision</w:t>
            </w:r>
            <w:r w:rsidR="001A67A6">
              <w:t xml:space="preserve"> or goals for the future.</w:t>
            </w:r>
            <w:bookmarkStart w:id="0" w:name="_GoBack"/>
            <w:bookmarkEnd w:id="0"/>
          </w:p>
        </w:tc>
      </w:tr>
      <w:tr w:rsidR="00144D5B" w14:paraId="06FFD69B" w14:textId="77777777" w:rsidTr="009E2C30">
        <w:trPr>
          <w:trHeight w:val="283"/>
        </w:trPr>
        <w:tc>
          <w:tcPr>
            <w:tcW w:w="1417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60606D" w14:textId="22D9F8A5" w:rsidR="00144D5B" w:rsidRPr="00F96D5B" w:rsidRDefault="00144D5B" w:rsidP="00953DB9">
            <w:pPr>
              <w:pStyle w:val="TableBoldBodyBlue"/>
              <w:rPr>
                <w:rFonts w:eastAsiaTheme="minorEastAsia"/>
                <w:lang w:val="en-US"/>
              </w:rPr>
            </w:pPr>
            <w:r>
              <w:t xml:space="preserve">Strategic </w:t>
            </w:r>
            <w:r w:rsidR="00E557F5">
              <w:t>p</w:t>
            </w:r>
            <w:r>
              <w:t>lan</w:t>
            </w:r>
          </w:p>
        </w:tc>
        <w:tc>
          <w:tcPr>
            <w:tcW w:w="5669" w:type="dxa"/>
            <w:tcBorders>
              <w:top w:val="single" w:sz="8" w:space="0" w:color="00A7E1"/>
              <w:bottom w:val="single" w:sz="8" w:space="0" w:color="00A7E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02F34" w14:textId="7A9C2256" w:rsidR="00144D5B" w:rsidRPr="00F96D5B" w:rsidRDefault="001A67A6" w:rsidP="00953DB9">
            <w:pPr>
              <w:pStyle w:val="TableBody"/>
            </w:pPr>
            <w:r>
              <w:t>Articulation of how to achieve strategic direction.</w:t>
            </w:r>
          </w:p>
        </w:tc>
      </w:tr>
    </w:tbl>
    <w:p w14:paraId="5E90A0F1" w14:textId="77777777" w:rsidR="0034441E" w:rsidRPr="0034441E" w:rsidRDefault="0034441E" w:rsidP="0034441E">
      <w:pPr>
        <w:pStyle w:val="Heading10"/>
        <w:spacing w:before="0"/>
        <w:rPr>
          <w:sz w:val="16"/>
          <w:szCs w:val="16"/>
        </w:rPr>
      </w:pPr>
    </w:p>
    <w:p w14:paraId="4B6BB327" w14:textId="1D4AEDC7" w:rsidR="00F4305C" w:rsidRPr="00DB0E45" w:rsidRDefault="00F4305C" w:rsidP="0034441E">
      <w:pPr>
        <w:pStyle w:val="Heading10"/>
        <w:spacing w:before="0"/>
      </w:pPr>
      <w:r w:rsidRPr="00DD0B30">
        <w:t>Instructions</w:t>
      </w:r>
    </w:p>
    <w:p w14:paraId="7566CE78" w14:textId="1C196AC0" w:rsidR="006524BF" w:rsidRDefault="006524BF" w:rsidP="000F3164">
      <w:pPr>
        <w:pStyle w:val="NumberedBullets"/>
      </w:pPr>
      <w:r>
        <w:t xml:space="preserve">Use this guide to </w:t>
      </w:r>
      <w:bookmarkStart w:id="1" w:name="_Hlk529790518"/>
      <w:r>
        <w:t xml:space="preserve">inform you </w:t>
      </w:r>
      <w:bookmarkStart w:id="2" w:name="_Hlk529790500"/>
      <w:r>
        <w:t xml:space="preserve">when </w:t>
      </w:r>
      <w:r w:rsidR="00DA60D1">
        <w:t xml:space="preserve">defining your risk </w:t>
      </w:r>
      <w:bookmarkEnd w:id="1"/>
      <w:r w:rsidR="00DA60D1">
        <w:t>appetite</w:t>
      </w:r>
      <w:bookmarkEnd w:id="2"/>
      <w:r w:rsidR="00FB4964">
        <w:t xml:space="preserve"> and tolerances</w:t>
      </w:r>
      <w:r>
        <w:t>.</w:t>
      </w:r>
    </w:p>
    <w:p w14:paraId="53EF7744" w14:textId="329350E3" w:rsidR="006524BF" w:rsidRDefault="006524BF" w:rsidP="000F3164">
      <w:pPr>
        <w:pStyle w:val="NumberedBullets"/>
      </w:pPr>
      <w:bookmarkStart w:id="3" w:name="_Hlk529790573"/>
      <w:r>
        <w:t xml:space="preserve">Use the considerations and questions to inform the structure of your </w:t>
      </w:r>
      <w:r w:rsidR="00DA60D1">
        <w:t>risk appetite</w:t>
      </w:r>
      <w:r w:rsidR="00FB4964">
        <w:t xml:space="preserve"> and tolerance</w:t>
      </w:r>
      <w:r>
        <w:t>.</w:t>
      </w:r>
    </w:p>
    <w:p w14:paraId="24BF5D26" w14:textId="1E516883" w:rsidR="006524BF" w:rsidRDefault="006524BF" w:rsidP="000F3164">
      <w:pPr>
        <w:pStyle w:val="NumberedBullets"/>
      </w:pPr>
      <w:r>
        <w:t>Use the example</w:t>
      </w:r>
      <w:r w:rsidR="00FB2677">
        <w:t>s</w:t>
      </w:r>
      <w:r>
        <w:t xml:space="preserve"> to help guide the structure of your </w:t>
      </w:r>
      <w:r w:rsidR="00DA60D1">
        <w:t>risk appetite</w:t>
      </w:r>
      <w:r w:rsidR="00FB4964">
        <w:t xml:space="preserve"> and tolerance</w:t>
      </w:r>
      <w:r>
        <w:t>.</w:t>
      </w:r>
    </w:p>
    <w:bookmarkEnd w:id="3"/>
    <w:p w14:paraId="5C652E6E" w14:textId="4A234DED" w:rsidR="006524BF" w:rsidRPr="000F3164" w:rsidRDefault="006524BF" w:rsidP="000F3164">
      <w:pPr>
        <w:pStyle w:val="NumberedBullets"/>
        <w:rPr>
          <w:b/>
          <w:color w:val="7030A0"/>
        </w:rPr>
      </w:pPr>
      <w:r w:rsidRPr="000F3164">
        <w:rPr>
          <w:b/>
          <w:color w:val="7030A0"/>
        </w:rPr>
        <w:t>Delete page</w:t>
      </w:r>
      <w:r w:rsidR="0034441E">
        <w:rPr>
          <w:b/>
          <w:color w:val="7030A0"/>
        </w:rPr>
        <w:t>s 1-3</w:t>
      </w:r>
      <w:r w:rsidRPr="000F3164">
        <w:rPr>
          <w:b/>
          <w:color w:val="7030A0"/>
        </w:rPr>
        <w:t xml:space="preserve"> and use your own organisation’s logo, branding and style</w:t>
      </w:r>
      <w:r w:rsidR="0034441E">
        <w:rPr>
          <w:b/>
          <w:color w:val="7030A0"/>
        </w:rPr>
        <w:t xml:space="preserve"> on the remaining pages</w:t>
      </w:r>
      <w:r w:rsidRPr="000F3164">
        <w:rPr>
          <w:b/>
          <w:color w:val="7030A0"/>
        </w:rPr>
        <w:t>.</w:t>
      </w:r>
    </w:p>
    <w:p w14:paraId="2503147C" w14:textId="77777777" w:rsidR="00F4305C" w:rsidRPr="00144D5B" w:rsidRDefault="00F4305C" w:rsidP="00DD0B30">
      <w:pPr>
        <w:pStyle w:val="Heading10"/>
        <w:rPr>
          <w:sz w:val="8"/>
          <w:szCs w:val="8"/>
        </w:rPr>
      </w:pPr>
    </w:p>
    <w:p w14:paraId="3ECB3314" w14:textId="6C9B8325" w:rsidR="00F4305C" w:rsidRPr="00DD0B30" w:rsidRDefault="00F4305C" w:rsidP="00DD0B30">
      <w:pPr>
        <w:pStyle w:val="Heading10"/>
        <w:sectPr w:rsidR="00F4305C" w:rsidRPr="00DD0B30" w:rsidSect="00770C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1418" w:right="851" w:bottom="1134" w:left="851" w:header="283" w:footer="283" w:gutter="0"/>
          <w:cols w:num="2" w:space="708"/>
          <w:docGrid w:linePitch="360"/>
        </w:sectPr>
      </w:pPr>
    </w:p>
    <w:p w14:paraId="4D43A084" w14:textId="169F803B" w:rsidR="00182EA9" w:rsidRDefault="00182EA9" w:rsidP="00911F6E">
      <w:pPr>
        <w:pStyle w:val="Heading10"/>
      </w:pPr>
      <w:r>
        <w:lastRenderedPageBreak/>
        <w:t xml:space="preserve">Considerations </w:t>
      </w:r>
      <w:r w:rsidRPr="00911F6E">
        <w:t>and</w:t>
      </w:r>
      <w:r>
        <w:t xml:space="preserve"> </w:t>
      </w:r>
      <w:r w:rsidR="00144D5B">
        <w:t>Questions</w:t>
      </w:r>
    </w:p>
    <w:p w14:paraId="25D8182D" w14:textId="4676F11B" w:rsidR="00144D5B" w:rsidRPr="0026339B" w:rsidRDefault="0026339B" w:rsidP="00345201">
      <w:pPr>
        <w:keepNext/>
        <w:keepLines/>
        <w:numPr>
          <w:ilvl w:val="2"/>
          <w:numId w:val="0"/>
        </w:numPr>
        <w:tabs>
          <w:tab w:val="num" w:pos="0"/>
          <w:tab w:val="left" w:pos="1418"/>
          <w:tab w:val="left" w:pos="1701"/>
          <w:tab w:val="left" w:pos="1985"/>
        </w:tabs>
        <w:spacing w:before="60" w:line="240" w:lineRule="auto"/>
        <w:outlineLvl w:val="2"/>
        <w:rPr>
          <w:rFonts w:eastAsia="Times New Roman"/>
          <w:lang w:val="en-AU" w:eastAsia="en-AU"/>
        </w:rPr>
      </w:pPr>
      <w:r w:rsidRPr="0026339B">
        <w:rPr>
          <w:rFonts w:eastAsia="Times New Roman"/>
          <w:lang w:val="en-AU" w:eastAsia="en-AU"/>
        </w:rPr>
        <w:t xml:space="preserve">It is important to consider </w:t>
      </w:r>
      <w:r w:rsidR="00345201">
        <w:rPr>
          <w:rFonts w:eastAsia="Times New Roman"/>
          <w:lang w:val="en-AU" w:eastAsia="en-AU"/>
        </w:rPr>
        <w:t>your readiness, application and embedding of articulating your risk appetite and tolerance.  The following considerations and questions will assist in this process.</w:t>
      </w:r>
    </w:p>
    <w:tbl>
      <w:tblPr>
        <w:tblStyle w:val="TableGrid"/>
        <w:tblW w:w="1502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235"/>
        <w:gridCol w:w="5669"/>
      </w:tblGrid>
      <w:tr w:rsidR="00537FDE" w:rsidRPr="000B3CF2" w14:paraId="74859A02" w14:textId="192AC209" w:rsidTr="00172822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00A7E1"/>
            <w:vAlign w:val="center"/>
          </w:tcPr>
          <w:p w14:paraId="2A5D106C" w14:textId="77777777" w:rsidR="00537FDE" w:rsidRPr="000B3CF2" w:rsidRDefault="00537FDE" w:rsidP="002471BB">
            <w:pPr>
              <w:pStyle w:val="Body"/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0B3CF2">
              <w:rPr>
                <w:b/>
                <w:color w:val="FFFFFF" w:themeColor="background1"/>
                <w:sz w:val="20"/>
                <w:szCs w:val="20"/>
              </w:rPr>
              <w:t>Consideration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00A7E1"/>
            <w:vAlign w:val="center"/>
          </w:tcPr>
          <w:p w14:paraId="4F4BB808" w14:textId="2E2DA8AD" w:rsidR="00537FDE" w:rsidRPr="000B3CF2" w:rsidRDefault="00537FDE" w:rsidP="002471BB">
            <w:pPr>
              <w:pStyle w:val="Body"/>
              <w:rPr>
                <w:color w:val="FFFFFF" w:themeColor="background1"/>
                <w:sz w:val="20"/>
                <w:szCs w:val="20"/>
              </w:rPr>
            </w:pPr>
            <w:r w:rsidRPr="000B3CF2">
              <w:rPr>
                <w:b/>
                <w:color w:val="FFFFFF" w:themeColor="background1"/>
                <w:sz w:val="20"/>
                <w:szCs w:val="20"/>
              </w:rPr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to ask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00A7E1"/>
            <w:vAlign w:val="center"/>
          </w:tcPr>
          <w:p w14:paraId="18629AE7" w14:textId="00071E9F" w:rsidR="00537FDE" w:rsidRPr="000B3CF2" w:rsidRDefault="00537FDE" w:rsidP="002471BB">
            <w:pPr>
              <w:pStyle w:val="Body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72822" w14:paraId="1F1A4BE7" w14:textId="19DD5C46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72278D" w14:textId="753862DA" w:rsidR="00172822" w:rsidRPr="00FC0A13" w:rsidRDefault="00172822" w:rsidP="00172822">
            <w:pPr>
              <w:pStyle w:val="TableBoldBodyBlue"/>
            </w:pPr>
            <w:r w:rsidRPr="00C12534">
              <w:rPr>
                <w:color w:val="00AADC"/>
              </w:rPr>
              <w:t>Readiness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0110E0" w14:textId="08865976" w:rsidR="00172822" w:rsidRPr="002471BB" w:rsidRDefault="00172822" w:rsidP="00172822">
            <w:pPr>
              <w:pStyle w:val="TableBody"/>
            </w:pPr>
            <w:r>
              <w:t>Do we have the desire and willingness to articulate our risk appetite and tolerance?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5C29A06D" w14:textId="022B2276" w:rsidR="00172822" w:rsidRPr="00FC0A13" w:rsidRDefault="00172822" w:rsidP="00B75C13">
            <w:pPr>
              <w:pStyle w:val="Bullets"/>
              <w:numPr>
                <w:ilvl w:val="0"/>
                <w:numId w:val="0"/>
              </w:numPr>
              <w:ind w:left="284" w:hanging="249"/>
              <w:rPr>
                <w:rFonts w:eastAsiaTheme="minorEastAsia"/>
              </w:rPr>
            </w:pPr>
          </w:p>
        </w:tc>
      </w:tr>
      <w:tr w:rsidR="00172822" w14:paraId="277492B3" w14:textId="43FC5BE0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DEA034" w14:textId="3DC13515" w:rsidR="00172822" w:rsidRPr="00FC0A13" w:rsidRDefault="00172822" w:rsidP="00172822">
            <w:pPr>
              <w:pStyle w:val="TableBoldBodyBlue"/>
            </w:pPr>
            <w:r w:rsidRPr="00C12534">
              <w:rPr>
                <w:color w:val="00AADC"/>
              </w:rPr>
              <w:t>Readiness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D25703" w14:textId="284BD8EE" w:rsidR="00172822" w:rsidRPr="002471BB" w:rsidRDefault="00172822" w:rsidP="00172822">
            <w:pPr>
              <w:pStyle w:val="TableBody"/>
            </w:pPr>
            <w:r>
              <w:t>Do</w:t>
            </w:r>
            <w:r w:rsidR="001A67A6">
              <w:t>es</w:t>
            </w:r>
            <w:r>
              <w:t xml:space="preserve"> the Board and the CEO agree there is a need to articulate our risk appetite and tolerance?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435D77E4" w14:textId="78464AF3" w:rsidR="00172822" w:rsidRPr="00FC0A13" w:rsidRDefault="00172822" w:rsidP="00172822">
            <w:pPr>
              <w:pStyle w:val="TableBody"/>
            </w:pPr>
          </w:p>
        </w:tc>
      </w:tr>
      <w:tr w:rsidR="00B75C13" w14:paraId="1C7FE8A7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974FD8" w14:textId="40E3E83D" w:rsidR="00B75C13" w:rsidRPr="00C12534" w:rsidRDefault="00B75C13" w:rsidP="00B75C13">
            <w:pPr>
              <w:pStyle w:val="TableBoldBodyBlue"/>
              <w:rPr>
                <w:color w:val="00AADC"/>
              </w:rPr>
            </w:pPr>
            <w:r w:rsidRPr="00C12534">
              <w:rPr>
                <w:color w:val="00AADC"/>
              </w:rPr>
              <w:t>Readiness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DF15CB" w14:textId="02514DF2" w:rsidR="00B75C13" w:rsidRDefault="00B75C13" w:rsidP="00B75C13">
            <w:pPr>
              <w:pStyle w:val="TableBody"/>
            </w:pPr>
            <w:r>
              <w:t>Is our Strategic direction up to date?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3053DE32" w14:textId="77777777" w:rsidR="00B75C13" w:rsidRPr="00537FDE" w:rsidRDefault="00B75C13" w:rsidP="00B75C13">
            <w:pPr>
              <w:pStyle w:val="Body"/>
              <w:rPr>
                <w:rFonts w:eastAsiaTheme="minorEastAsia"/>
              </w:rPr>
            </w:pPr>
          </w:p>
        </w:tc>
      </w:tr>
      <w:tr w:rsidR="00B75C13" w14:paraId="33C4A41D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524DC" w14:textId="22A7B989" w:rsidR="00B75C13" w:rsidRDefault="00B75C13" w:rsidP="00B75C13">
            <w:pPr>
              <w:pStyle w:val="TableBoldBodyBlue"/>
            </w:pPr>
            <w:r w:rsidRPr="00C12534">
              <w:rPr>
                <w:color w:val="00AADC"/>
              </w:rPr>
              <w:t>Readiness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C3F4BF" w14:textId="17859171" w:rsidR="00B75C13" w:rsidRDefault="00B75C13" w:rsidP="00B75C13">
            <w:pPr>
              <w:pStyle w:val="TableBody"/>
            </w:pPr>
            <w:r>
              <w:t>Is our Strategic Plan up to date?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2D9121A6" w14:textId="77777777" w:rsidR="00B75C13" w:rsidRPr="00537FDE" w:rsidRDefault="00B75C13" w:rsidP="00B75C13">
            <w:pPr>
              <w:pStyle w:val="Body"/>
              <w:rPr>
                <w:rFonts w:eastAsiaTheme="minorEastAsia"/>
              </w:rPr>
            </w:pPr>
          </w:p>
        </w:tc>
      </w:tr>
      <w:tr w:rsidR="00B75C13" w14:paraId="6922A522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7A87A" w14:textId="11F52410" w:rsidR="00B75C13" w:rsidRPr="00FC0A13" w:rsidRDefault="00B75C13" w:rsidP="00B75C13">
            <w:pPr>
              <w:pStyle w:val="TableBoldBodyBlue"/>
            </w:pPr>
            <w:r w:rsidRPr="00C12534">
              <w:rPr>
                <w:color w:val="00AADC"/>
              </w:rPr>
              <w:t>Readiness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071A5A" w14:textId="00CDE2E7" w:rsidR="00B75C13" w:rsidRPr="002471BB" w:rsidRDefault="00B75C13" w:rsidP="00B75C13">
            <w:pPr>
              <w:pStyle w:val="TableBody"/>
            </w:pPr>
            <w:r>
              <w:t>How will we use our risk appetite statements?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498AB3DB" w14:textId="4D9F0EAF" w:rsidR="00B75C13" w:rsidRPr="00537FDE" w:rsidRDefault="00B75C13" w:rsidP="00B75C13">
            <w:pPr>
              <w:pStyle w:val="Body"/>
              <w:rPr>
                <w:rFonts w:eastAsiaTheme="minorEastAsia"/>
              </w:rPr>
            </w:pPr>
          </w:p>
        </w:tc>
      </w:tr>
      <w:tr w:rsidR="00B75C13" w14:paraId="06E08813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D48E7D" w14:textId="3499CCD9" w:rsidR="00B75C13" w:rsidRDefault="00B75C13" w:rsidP="00B75C13">
            <w:pPr>
              <w:pStyle w:val="TableBoldBodyBlue"/>
            </w:pPr>
            <w:r w:rsidRPr="00C12534">
              <w:rPr>
                <w:color w:val="00AADC"/>
              </w:rPr>
              <w:t>Communication and embedding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6B0389" w14:textId="428E4EAF" w:rsidR="00B75C13" w:rsidRPr="002471BB" w:rsidRDefault="00B75C13" w:rsidP="00B75C13">
            <w:pPr>
              <w:pStyle w:val="TableBody"/>
            </w:pPr>
            <w:r>
              <w:t>How will we communicate our risk appetite and tolerance to the organisation?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57738C77" w14:textId="174B33B5" w:rsidR="00B75C13" w:rsidRPr="00537FDE" w:rsidRDefault="00B75C13" w:rsidP="00B75C13">
            <w:pPr>
              <w:pStyle w:val="TableBody"/>
            </w:pPr>
          </w:p>
        </w:tc>
      </w:tr>
      <w:tr w:rsidR="001A67A6" w14:paraId="6ABE0865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DFBE8E" w14:textId="5F908C4E" w:rsidR="001A67A6" w:rsidRPr="00C12534" w:rsidRDefault="001A67A6" w:rsidP="00B75C13">
            <w:pPr>
              <w:pStyle w:val="TableBoldBodyBlue"/>
              <w:rPr>
                <w:color w:val="00AADC"/>
              </w:rPr>
            </w:pPr>
            <w:r w:rsidRPr="00C12534">
              <w:rPr>
                <w:color w:val="00AADC"/>
              </w:rPr>
              <w:t>Monitoring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9E2E51" w14:textId="7B76D46B" w:rsidR="001A67A6" w:rsidRDefault="001A67A6" w:rsidP="00B75C13">
            <w:pPr>
              <w:pStyle w:val="TableBody"/>
            </w:pPr>
            <w:r>
              <w:t>How will we monitor the currency of our risk appetite and tolerance statements?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0C63C660" w14:textId="77777777" w:rsidR="001A67A6" w:rsidRPr="00537FDE" w:rsidRDefault="001A67A6" w:rsidP="00B75C13">
            <w:pPr>
              <w:pStyle w:val="TableBody"/>
            </w:pPr>
          </w:p>
        </w:tc>
      </w:tr>
      <w:tr w:rsidR="00B75C13" w14:paraId="6C73F653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BB4F81" w14:textId="46FF09DD" w:rsidR="00B75C13" w:rsidRDefault="00B75C13" w:rsidP="00B75C13">
            <w:pPr>
              <w:pStyle w:val="TableBoldBodyBlue"/>
            </w:pPr>
            <w:r w:rsidRPr="00C12534">
              <w:rPr>
                <w:color w:val="00AADC"/>
              </w:rPr>
              <w:t>Monitoring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5E24D" w14:textId="732059AF" w:rsidR="00B75C13" w:rsidRPr="002471BB" w:rsidRDefault="00D27346" w:rsidP="00B75C13">
            <w:pPr>
              <w:pStyle w:val="TableBody"/>
            </w:pPr>
            <w:r>
              <w:t>How will we know our risk appetite and tolerance statements are performing?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29278708" w14:textId="04C18468" w:rsidR="00B75C13" w:rsidRPr="00537FDE" w:rsidRDefault="00B75C13" w:rsidP="00B75C13">
            <w:pPr>
              <w:pStyle w:val="TableBody"/>
            </w:pPr>
          </w:p>
        </w:tc>
      </w:tr>
      <w:tr w:rsidR="00B75C13" w14:paraId="32413743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D25410" w14:textId="62447DA2" w:rsidR="00B75C13" w:rsidRDefault="00B75C13" w:rsidP="00B75C13">
            <w:pPr>
              <w:pStyle w:val="TableBoldBodyBlue"/>
            </w:pPr>
            <w:r>
              <w:rPr>
                <w:color w:val="00AADC"/>
              </w:rPr>
              <w:t>Amount of risk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EFA4A3" w14:textId="7AC59FAB" w:rsidR="00B75C13" w:rsidRPr="002471BB" w:rsidRDefault="00B75C13" w:rsidP="00B75C13">
            <w:pPr>
              <w:pStyle w:val="TableBody"/>
            </w:pPr>
            <w:r>
              <w:t>How much risk can we afford to take on, based on the anticipated gain?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328BA4E2" w14:textId="45A02DC6" w:rsidR="00B75C13" w:rsidRPr="00537FDE" w:rsidRDefault="00B75C13" w:rsidP="00B75C13">
            <w:pPr>
              <w:pStyle w:val="Bullets"/>
              <w:numPr>
                <w:ilvl w:val="0"/>
                <w:numId w:val="0"/>
              </w:numPr>
              <w:ind w:left="284" w:hanging="249"/>
            </w:pPr>
          </w:p>
        </w:tc>
      </w:tr>
      <w:tr w:rsidR="00B75C13" w14:paraId="07AF796C" w14:textId="77777777" w:rsidTr="00172822">
        <w:trPr>
          <w:cantSplit/>
        </w:trPr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374F0D" w14:textId="20D5B43F" w:rsidR="00B75C13" w:rsidRPr="002471BB" w:rsidRDefault="00B75C13" w:rsidP="00B75C13">
            <w:pPr>
              <w:pStyle w:val="TableBoldBodyBlue"/>
            </w:pPr>
            <w:r>
              <w:rPr>
                <w:color w:val="00AADC"/>
              </w:rPr>
              <w:t>Decision making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05B99" w14:textId="07075A13" w:rsidR="00B75C13" w:rsidRPr="002471BB" w:rsidRDefault="00B75C13" w:rsidP="00B75C13">
            <w:pPr>
              <w:pStyle w:val="TableBody"/>
            </w:pPr>
            <w:r>
              <w:t>Are we making defen</w:t>
            </w:r>
            <w:r w:rsidR="00107B22">
              <w:t>si</w:t>
            </w:r>
            <w:r>
              <w:t>ble decisions?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4126C710" w14:textId="36784E1A" w:rsidR="00B75C13" w:rsidRPr="00537FDE" w:rsidRDefault="00B75C13" w:rsidP="00B75C13">
            <w:pPr>
              <w:pStyle w:val="TableBody"/>
            </w:pPr>
          </w:p>
        </w:tc>
      </w:tr>
      <w:tr w:rsidR="00B75C13" w14:paraId="502B9129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4F130A" w14:textId="1EE163F3" w:rsidR="00B75C13" w:rsidRPr="002471BB" w:rsidRDefault="00B75C13" w:rsidP="00B75C13">
            <w:pPr>
              <w:pStyle w:val="TableBoldBodyBlue"/>
            </w:pPr>
            <w:r>
              <w:rPr>
                <w:color w:val="00AADC"/>
              </w:rPr>
              <w:t>Decision making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9A4304" w14:textId="47C41CD8" w:rsidR="00B75C13" w:rsidRPr="002471BB" w:rsidRDefault="00B75C13" w:rsidP="00B75C13">
            <w:pPr>
              <w:pStyle w:val="TableBody"/>
            </w:pPr>
            <w:r>
              <w:t>Are we making decisions based on the best available information?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1809EF3C" w14:textId="30A248DD" w:rsidR="00B75C13" w:rsidRPr="00537FDE" w:rsidRDefault="00B75C13" w:rsidP="00B75C13">
            <w:pPr>
              <w:pStyle w:val="TableBody"/>
            </w:pPr>
          </w:p>
        </w:tc>
      </w:tr>
      <w:tr w:rsidR="00B75C13" w14:paraId="188265B0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99A6BA" w14:textId="499373D1" w:rsidR="00B75C13" w:rsidRDefault="00B75C13" w:rsidP="00B75C13">
            <w:pPr>
              <w:pStyle w:val="TableBoldBodyBlue"/>
            </w:pPr>
            <w:r>
              <w:rPr>
                <w:color w:val="00AADC"/>
              </w:rPr>
              <w:t>Decision making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9DFAD2" w14:textId="2A7F0307" w:rsidR="00B75C13" w:rsidRPr="002471BB" w:rsidRDefault="00B75C13" w:rsidP="00B75C13">
            <w:pPr>
              <w:pStyle w:val="TableBody"/>
            </w:pPr>
            <w:r>
              <w:t xml:space="preserve">Are we making decisions </w:t>
            </w:r>
            <w:r w:rsidR="00107B22">
              <w:t>consistent with</w:t>
            </w:r>
            <w:r>
              <w:t xml:space="preserve"> our ethics and values?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70AC2E8A" w14:textId="77777777" w:rsidR="00B75C13" w:rsidRPr="00537FDE" w:rsidRDefault="00B75C13" w:rsidP="00B75C13">
            <w:pPr>
              <w:pStyle w:val="TableBody"/>
            </w:pPr>
          </w:p>
        </w:tc>
      </w:tr>
      <w:tr w:rsidR="00B75C13" w14:paraId="4CC7DB3B" w14:textId="77777777" w:rsidTr="00172822">
        <w:tc>
          <w:tcPr>
            <w:tcW w:w="311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8247C1" w14:textId="787D4144" w:rsidR="00B75C13" w:rsidRDefault="00B75C13" w:rsidP="00B75C13">
            <w:pPr>
              <w:pStyle w:val="TableBoldBodyBlue"/>
            </w:pPr>
            <w:r>
              <w:rPr>
                <w:color w:val="00AADC"/>
              </w:rPr>
              <w:t>Decision making</w:t>
            </w:r>
          </w:p>
        </w:tc>
        <w:tc>
          <w:tcPr>
            <w:tcW w:w="6235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078C4E" w14:textId="783DC31D" w:rsidR="00B75C13" w:rsidRPr="002471BB" w:rsidRDefault="00B75C13" w:rsidP="00B75C13">
            <w:pPr>
              <w:pStyle w:val="TableBody"/>
            </w:pPr>
            <w:r>
              <w:t>Are we making future facing decisions?</w:t>
            </w:r>
          </w:p>
        </w:tc>
        <w:tc>
          <w:tcPr>
            <w:tcW w:w="5669" w:type="dxa"/>
            <w:tcBorders>
              <w:top w:val="single" w:sz="8" w:space="0" w:color="00A7E1"/>
              <w:left w:val="nil"/>
              <w:bottom w:val="single" w:sz="8" w:space="0" w:color="00A7E1"/>
              <w:right w:val="nil"/>
            </w:tcBorders>
          </w:tcPr>
          <w:p w14:paraId="1A9E7A55" w14:textId="77777777" w:rsidR="00B75C13" w:rsidRPr="00537FDE" w:rsidRDefault="00B75C13" w:rsidP="00B75C13">
            <w:pPr>
              <w:pStyle w:val="TableBody"/>
            </w:pPr>
          </w:p>
        </w:tc>
      </w:tr>
    </w:tbl>
    <w:p w14:paraId="77A67FF9" w14:textId="002EB9C3" w:rsidR="009B090E" w:rsidRDefault="009B090E" w:rsidP="001201BE">
      <w:pPr>
        <w:pStyle w:val="Copyright"/>
        <w:sectPr w:rsidR="009B090E" w:rsidSect="00511DA2">
          <w:headerReference w:type="default" r:id="rId17"/>
          <w:pgSz w:w="16840" w:h="11900" w:orient="landscape"/>
          <w:pgMar w:top="1418" w:right="851" w:bottom="1134" w:left="851" w:header="567" w:footer="284" w:gutter="0"/>
          <w:cols w:space="708"/>
          <w:docGrid w:linePitch="360"/>
        </w:sectPr>
      </w:pPr>
    </w:p>
    <w:p w14:paraId="72CDBED9" w14:textId="5A1F92E7" w:rsidR="002471BB" w:rsidRDefault="002471BB">
      <w:pPr>
        <w:spacing w:after="0" w:line="240" w:lineRule="auto"/>
        <w:rPr>
          <w:rFonts w:eastAsiaTheme="majorEastAsia" w:cstheme="majorBidi"/>
          <w:bCs/>
          <w:color w:val="00A7E1"/>
          <w:sz w:val="30"/>
          <w:szCs w:val="28"/>
          <w:lang w:val="en-AU"/>
        </w:rPr>
      </w:pPr>
      <w:r>
        <w:br w:type="page"/>
      </w:r>
    </w:p>
    <w:p w14:paraId="57A58D5C" w14:textId="69F95183" w:rsidR="009B090E" w:rsidRDefault="00953DB9" w:rsidP="009B090E">
      <w:pPr>
        <w:pStyle w:val="Heading10"/>
      </w:pPr>
      <w:r>
        <w:lastRenderedPageBreak/>
        <w:t>Where does</w:t>
      </w:r>
      <w:r w:rsidR="003E0F95">
        <w:t xml:space="preserve"> risk appetite and tolerance </w:t>
      </w:r>
      <w:r>
        <w:t>fit into Risk Management?</w:t>
      </w:r>
    </w:p>
    <w:p w14:paraId="4E62A947" w14:textId="2EECE08B" w:rsidR="009B090E" w:rsidRDefault="00D35208" w:rsidP="00144D5B">
      <w:pPr>
        <w:pStyle w:val="Copyright"/>
        <w:jc w:val="right"/>
      </w:pPr>
      <w:r w:rsidRPr="00107B22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FEA5EB" wp14:editId="1F0F1F28">
                <wp:simplePos x="0" y="0"/>
                <wp:positionH relativeFrom="column">
                  <wp:posOffset>8150391</wp:posOffset>
                </wp:positionH>
                <wp:positionV relativeFrom="paragraph">
                  <wp:posOffset>3174310</wp:posOffset>
                </wp:positionV>
                <wp:extent cx="1391202" cy="906448"/>
                <wp:effectExtent l="0" t="0" r="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02" cy="90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FC5C" w14:textId="3DDA7800" w:rsidR="00D35208" w:rsidRPr="00107B22" w:rsidRDefault="00D35208" w:rsidP="00D35208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  <w:t>Long term Internally focused – exercising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E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1.75pt;margin-top:249.95pt;width:109.55pt;height:7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DxHwIAABwEAAAOAAAAZHJzL2Uyb0RvYy54bWysU9tu2zAMfR+wfxD0vtjxki4x4hRdugwD&#10;ugvQ7gMYWY6FSaInKbG7ry8lp2m2vQ3zgyCa5OHhIbW6HoxmR+m8Qlvx6STnTFqBtbL7in9/2L5Z&#10;cOYD2Bo0WlnxR+n59fr1q1XflbLAFnUtHSMQ68u+q3gbQldmmRetNOAn2ElLzgadgUCm22e1g57Q&#10;jc6KPL/KenR151BI7+nv7ejk64TfNFKEr03jZWC64sQtpNOlcxfPbL2Ccu+ga5U40YB/YGFAWSp6&#10;hrqFAOzg1F9QRgmHHpswEWgybBolZOqBupnmf3Rz30InUy8kju/OMvn/Byu+HL85pmqaHcljwdCM&#10;HuQQ2HscWBHl6TtfUtR9R3FhoN8Umlr13R2KH55Z3LRg9/LGOexbCTXRm8bM7CJ1xPERZNd/xprK&#10;wCFgAhoaZ6J2pAYjdOLxeB5NpCJiybfLaZEXnAnyLfOr2WyRSkD5nN05Hz5KNCxeKu5o9Akdjnc+&#10;RDZQPofEYh61qrdK62S4/W6jHTsCrck2fSf038K0ZT1VnxfzhGwx5qcNMirQGmtlKr7I4xfToYxq&#10;fLB1ugdQerwTE21P8kRFRm3CsBsoMGq2w/qRhHI4ris9L7q06H5x1tOqVtz/PICTnOlPlsReTmez&#10;uNvJmM3fFWS4S8/u0gNWEFTFA2fjdRPSe4h8Ld7QUBqV9HphcuJKK5hkPD2XuOOXdop6edTrJwAA&#10;AP//AwBQSwMEFAAGAAgAAAAhACToE9XgAAAADQEAAA8AAABkcnMvZG93bnJldi54bWxMj8FOg0AQ&#10;hu8mvsNmTLwYu4hAC7I0aqLx2toHGNgpENlZwm4LfXu3J73Nn/nyzzfldjGDONPkessKnlYRCOLG&#10;6p5bBYfvj8cNCOeRNQ6WScGFHGyr25sSC21n3tF571sRStgVqKDzfiykdE1HBt3KjsRhd7STQR/i&#10;1Eo94RzKzSDjKMqkwZ7DhQ5Heu+o+dmfjILj1/yQ5nP96Q/rXZK9Yb+u7UWp+7vl9QWEp8X/wXDV&#10;D+pQBafanlg7MYQcb57TwCpI8jwHcUXSKM5A1AqyJAyyKuX/L6pfAAAA//8DAFBLAQItABQABgAI&#10;AAAAIQC2gziS/gAAAOEBAAATAAAAAAAAAAAAAAAAAAAAAABbQ29udGVudF9UeXBlc10ueG1sUEsB&#10;Ai0AFAAGAAgAAAAhADj9If/WAAAAlAEAAAsAAAAAAAAAAAAAAAAALwEAAF9yZWxzLy5yZWxzUEsB&#10;Ai0AFAAGAAgAAAAhAAqE8PEfAgAAHAQAAA4AAAAAAAAAAAAAAAAALgIAAGRycy9lMm9Eb2MueG1s&#10;UEsBAi0AFAAGAAgAAAAhACToE9XgAAAADQEAAA8AAAAAAAAAAAAAAAAAeQQAAGRycy9kb3ducmV2&#10;LnhtbFBLBQYAAAAABAAEAPMAAACGBQAAAAA=&#10;" stroked="f">
                <v:textbox>
                  <w:txbxContent>
                    <w:p w14:paraId="3CC9FC5C" w14:textId="3DDA7800" w:rsidR="00D35208" w:rsidRPr="00107B22" w:rsidRDefault="00D35208" w:rsidP="00D35208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5" w:themeShade="BF"/>
                          <w:sz w:val="24"/>
                          <w:szCs w:val="24"/>
                        </w:rPr>
                        <w:t>Long term Internally focused – exercising control</w:t>
                      </w:r>
                    </w:p>
                  </w:txbxContent>
                </v:textbox>
              </v:shape>
            </w:pict>
          </mc:Fallback>
        </mc:AlternateContent>
      </w:r>
      <w:r w:rsidRPr="00107B22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45FCB8" wp14:editId="4D9CFAA7">
                <wp:simplePos x="0" y="0"/>
                <wp:positionH relativeFrom="column">
                  <wp:posOffset>2234261</wp:posOffset>
                </wp:positionH>
                <wp:positionV relativeFrom="paragraph">
                  <wp:posOffset>3460309</wp:posOffset>
                </wp:positionV>
                <wp:extent cx="929585" cy="1404620"/>
                <wp:effectExtent l="0" t="0" r="444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E149" w14:textId="597507DA" w:rsidR="00D35208" w:rsidRPr="00107B22" w:rsidRDefault="00D35208" w:rsidP="00D35208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  <w:t>Short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FCB8" id="_x0000_s1027" type="#_x0000_t202" style="position:absolute;left:0;text-align:left;margin-left:175.95pt;margin-top:272.45pt;width:73.2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WBIQIAACMEAAAOAAAAZHJzL2Uyb0RvYy54bWysU9uO2yAQfa/Uf0C8N3bcZJtYcVbbbFNV&#10;2l6k3X4AxjhGBYYCiZ1+fQecpNHu26o8IGCGw5lzhtXtoBU5COclmIpOJzklwnBopNlV9OfT9t2C&#10;Eh+YaZgCIyp6FJ7ert++WfW2FAV0oBrhCIIYX/a2ol0ItswyzzuhmZ+AFQaDLTjNAm7dLmsc6xFd&#10;q6zI85usB9dYB1x4j6f3Y5CuE37bCh6+t60XgaiKIreQZpfmOs7ZesXKnWO2k/xEg72ChWbS4KMX&#10;qHsWGNk7+QJKS+7AQxsmHHQGbSu5SDVgNdP8WTWPHbMi1YLieHuRyf8/WP7t8MMR2aB37ykxTKNH&#10;T2II5CMMpIjy9NaXmPVoMS8MeIypqVRvH4D/8sTApmNmJ+6cg74TrEF603gzu7o64vgIUvdfocFn&#10;2D5AAhpap6N2qAZBdLTpeLEmUuF4uCyW88WcEo6h6Syf3RTJu4yV59vW+fBZgCZxUVGH1id0dnjw&#10;IbJh5TklPuZByWYrlUobt6s3ypEDwzbZppEKeJamDOmRyryYJ2QD8X7qIC0DtrGSuqKLPI6xsaIa&#10;n0yTUgKTalwjE2VO8kRFRm3CUA+jEWfVa2iOqJeDsWvxl+GiA/eHkh47tqL+9545QYn6YlDz5XQ2&#10;iy2eNrP5B1SIuOtIfR1hhiNURQMl43IT0rdIctg79GYrk2zRxJHJiTJ2YlLz9Gtiq1/vU9a/v73+&#10;CwAA//8DAFBLAwQUAAYACAAAACEABui2OOAAAAALAQAADwAAAGRycy9kb3ducmV2LnhtbEyPwU6D&#10;QBCG7ya+w2ZMvNkFC7RFlsaYeDE92Oqhxy2MLMLOIru0+PaOJ73NZL78/zfFdra9OOPoW0cK4kUE&#10;AqlydUuNgve357s1CB801bp3hAq+0cO2vL4qdF67C+3xfAiN4BDyuVZgQhhyKX1l0Gq/cAMS3z7c&#10;aHXgdWxkPeoLh9te3kdRJq1uiRuMHvDJYNUdJsslO19Ne/f1Ge86eTRdptNX86LU7c38+AAi4Bz+&#10;YPjVZ3Uo2enkJqq96BUs03jDqII0SXhgItmslyBOClZZFoMsC/n/h/IHAAD//wMAUEsBAi0AFAAG&#10;AAgAAAAhALaDOJL+AAAA4QEAABMAAAAAAAAAAAAAAAAAAAAAAFtDb250ZW50X1R5cGVzXS54bWxQ&#10;SwECLQAUAAYACAAAACEAOP0h/9YAAACUAQAACwAAAAAAAAAAAAAAAAAvAQAAX3JlbHMvLnJlbHNQ&#10;SwECLQAUAAYACAAAACEALEMVgSECAAAjBAAADgAAAAAAAAAAAAAAAAAuAgAAZHJzL2Uyb0RvYy54&#10;bWxQSwECLQAUAAYACAAAACEABui2OOAAAAALAQAADwAAAAAAAAAAAAAAAAB7BAAAZHJzL2Rvd25y&#10;ZXYueG1sUEsFBgAAAAAEAAQA8wAAAIgFAAAAAA==&#10;" stroked="f">
                <v:textbox style="mso-fit-shape-to-text:t">
                  <w:txbxContent>
                    <w:p w14:paraId="1A6EE149" w14:textId="597507DA" w:rsidR="00D35208" w:rsidRPr="00107B22" w:rsidRDefault="00D35208" w:rsidP="00D35208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5" w:themeShade="BF"/>
                          <w:sz w:val="24"/>
                          <w:szCs w:val="24"/>
                        </w:rPr>
                        <w:t>Short term</w:t>
                      </w:r>
                    </w:p>
                  </w:txbxContent>
                </v:textbox>
              </v:shape>
            </w:pict>
          </mc:Fallback>
        </mc:AlternateContent>
      </w:r>
      <w:r w:rsidR="00107B22" w:rsidRPr="00107B22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FC3413" wp14:editId="5AAF2F6A">
                <wp:simplePos x="0" y="0"/>
                <wp:positionH relativeFrom="column">
                  <wp:posOffset>2234123</wp:posOffset>
                </wp:positionH>
                <wp:positionV relativeFrom="paragraph">
                  <wp:posOffset>1154430</wp:posOffset>
                </wp:positionV>
                <wp:extent cx="961887" cy="1404620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8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B816" w14:textId="4E04A893" w:rsidR="00107B22" w:rsidRPr="00107B22" w:rsidRDefault="00107B22" w:rsidP="00107B22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  <w:t>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3413" id="_x0000_s1028" type="#_x0000_t202" style="position:absolute;left:0;text-align:left;margin-left:175.9pt;margin-top:90.9pt;width:75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bbIAIAACMEAAAOAAAAZHJzL2Uyb0RvYy54bWysU9uO2yAQfa/Uf0C8N74oyWatOKtttqkq&#10;bS/Sbj8AYxyjAkOBxE6/vgPOptH2rSoPCJjhcOacYX03akWOwnkJpqbFLKdEGA6tNPuafn/evVtR&#10;4gMzLVNgRE1PwtO7zds368FWooQeVCscQRDjq8HWtA/BVlnmeS808zOwwmCwA6dZwK3bZ61jA6Jr&#10;lZV5vswGcK11wIX3ePowBekm4Xed4OFr13kRiKopcgtpdmlu4pxt1qzaO2Z7yc802D+w0EwafPQC&#10;9cACIwcn/4LSkjvw0IUZB51B10kuUg1YTZG/quapZ1akWlAcby8y+f8Hy78cvzkiW/SupMQwjR49&#10;izGQ9zCSMsozWF9h1pPFvDDiMaamUr19BP7DEwPbnpm9uHcOhl6wFukV8WZ2dXXC8RGkGT5Di8+w&#10;Q4AENHZOR+1QDYLoaNPpYk2kwvHwdlmsVjeUcAwV83y+LJN3Gateblvnw0cBmsRFTR1an9DZ8dGH&#10;yIZVLynxMQ9KtjupVNq4fbNVjhwZtskujVTAqzRlyIBUFuUiIRuI91MHaRmwjZXUNV3lcUyNFdX4&#10;YNqUEphU0xqZKHOWJyoyaRPGZkxGXFRvoD2hXg6mrsVfhose3C9KBuzYmvqfB+YEJeqTQc1vi/k8&#10;tnjazBc3qBBx15HmOsIMR6iaBkqm5Takb5HksPfozU4m2aKJE5MzZezEpOb518RWv96nrD9/e/Mb&#10;AAD//wMAUEsDBBQABgAIAAAAIQBFG7AL3wAAAAsBAAAPAAAAZHJzL2Rvd25yZXYueG1sTI/BTsMw&#10;EETvSPyDtZW4UTuEVFWIUyEkLqgH2nLg6CZLnCZeh9hpw9+zPcFtVzOaeVNsZteLM46h9aQhWSoQ&#10;SJWvW2o0fBxe79cgQjRUm94TavjBAJvy9qYwee0vtMPzPjaCQyjkRoONccilDJVFZ8LSD0isffnR&#10;mcjv2Mh6NBcOd718UGolnWmJG6wZ8MVi1e0nxyXbUE07/31Ktp38tN3KZO/2Teu7xfz8BCLiHP/M&#10;cMVndCiZ6egnqoPoNaRZwuiRhfX1YEem0hTEUcOjShXIspD/N5S/AAAA//8DAFBLAQItABQABgAI&#10;AAAAIQC2gziS/gAAAOEBAAATAAAAAAAAAAAAAAAAAAAAAABbQ29udGVudF9UeXBlc10ueG1sUEsB&#10;Ai0AFAAGAAgAAAAhADj9If/WAAAAlAEAAAsAAAAAAAAAAAAAAAAALwEAAF9yZWxzLy5yZWxzUEsB&#10;Ai0AFAAGAAgAAAAhAMXVRtsgAgAAIwQAAA4AAAAAAAAAAAAAAAAALgIAAGRycy9lMm9Eb2MueG1s&#10;UEsBAi0AFAAGAAgAAAAhAEUbsAvfAAAACwEAAA8AAAAAAAAAAAAAAAAAegQAAGRycy9kb3ducmV2&#10;LnhtbFBLBQYAAAAABAAEAPMAAACGBQAAAAA=&#10;" stroked="f">
                <v:textbox style="mso-fit-shape-to-text:t">
                  <w:txbxContent>
                    <w:p w14:paraId="699CB816" w14:textId="4E04A893" w:rsidR="00107B22" w:rsidRPr="00107B22" w:rsidRDefault="00107B22" w:rsidP="00107B22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5" w:themeShade="BF"/>
                          <w:sz w:val="24"/>
                          <w:szCs w:val="24"/>
                        </w:rPr>
                        <w:t>Long term</w:t>
                      </w:r>
                    </w:p>
                  </w:txbxContent>
                </v:textbox>
              </v:shape>
            </w:pict>
          </mc:Fallback>
        </mc:AlternateContent>
      </w:r>
      <w:r w:rsidR="00107B22" w:rsidRPr="00107B22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1BEDD3" wp14:editId="66423273">
                <wp:simplePos x="0" y="0"/>
                <wp:positionH relativeFrom="column">
                  <wp:posOffset>8221511</wp:posOffset>
                </wp:positionH>
                <wp:positionV relativeFrom="paragraph">
                  <wp:posOffset>844163</wp:posOffset>
                </wp:positionV>
                <wp:extent cx="1192695" cy="1404620"/>
                <wp:effectExtent l="0" t="0" r="762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D108" w14:textId="7CC65CD0" w:rsidR="00107B22" w:rsidRPr="00107B22" w:rsidRDefault="00107B22" w:rsidP="00107B22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107B22"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  <w:t>Externally focused – risk-taking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EDD3" id="_x0000_s1029" type="#_x0000_t202" style="position:absolute;left:0;text-align:left;margin-left:647.35pt;margin-top:66.45pt;width:93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PXIwIAACM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lpQYplGi&#10;JzEG8h5GUkR2BusrTHq0mBZGPEaVU6fePgD/4YmBbc/MXtw5B0MvWIvVzePN7OrqhOMjSDN8hhaf&#10;YYcACWjsnI7UIRkE0VGl54sysRQen5yviuVqQQnH2LzMy2WRtMtYdb5unQ8fBWgSFzV1KH2CZ8cH&#10;H2I5rDqnxNc8KNnupFJp4/bNVjlyZGiTXRqpgxdpypChpqtFsUjIBuL95CAtA9pYSV3TmzyOyViR&#10;jg+mTSmBSTWtsRJlTvxESiZywtiMSYi3Z9obaJ+RMAeTa/GX4aIH94uSAR1bU//zwJygRH0ySPpq&#10;XpbR4mlTLt4hQ8RdR5rrCDMcoWoaKJmW25C+RaLD3qE4O5loiypOlZxKRicmNk+/Jlr9ep+y/vzt&#10;zW8AAAD//wMAUEsDBBQABgAIAAAAIQCCWTGA4QAAAA0BAAAPAAAAZHJzL2Rvd25yZXYueG1sTI9N&#10;T4NAEIbvJv6HzZh4swsUaossjTHxYnqw1YPHLYwsws4iu7T4752e9DZv5sn7UWxn24sTjr51pCBe&#10;RCCQKle31Ch4f3u+W4PwQVOte0eo4Ac9bMvrq0LntTvTHk+H0Ag2IZ9rBSaEIZfSVwat9gs3IPHv&#10;041WB5ZjI+tRn9nc9jKJopW0uiVOMHrAJ4NVd5gsh+x8Ne3d91e86+SH6VY6ezUvSt3ezI8PIALO&#10;4Q+GS32uDiV3OrqJai961skmvWeWr2WyAXFB0nWSgTgqWGZpDLIs5P8V5S8AAAD//wMAUEsBAi0A&#10;FAAGAAgAAAAhALaDOJL+AAAA4QEAABMAAAAAAAAAAAAAAAAAAAAAAFtDb250ZW50X1R5cGVzXS54&#10;bWxQSwECLQAUAAYACAAAACEAOP0h/9YAAACUAQAACwAAAAAAAAAAAAAAAAAvAQAAX3JlbHMvLnJl&#10;bHNQSwECLQAUAAYACAAAACEAEbBz1yMCAAAjBAAADgAAAAAAAAAAAAAAAAAuAgAAZHJzL2Uyb0Rv&#10;Yy54bWxQSwECLQAUAAYACAAAACEAglkxgOEAAAANAQAADwAAAAAAAAAAAAAAAAB9BAAAZHJzL2Rv&#10;d25yZXYueG1sUEsFBgAAAAAEAAQA8wAAAIsFAAAAAA==&#10;" stroked="f">
                <v:textbox style="mso-fit-shape-to-text:t">
                  <w:txbxContent>
                    <w:p w14:paraId="4AE7D108" w14:textId="7CC65CD0" w:rsidR="00107B22" w:rsidRPr="00107B22" w:rsidRDefault="00107B22" w:rsidP="00107B22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107B22">
                        <w:rPr>
                          <w:color w:val="2E74B5" w:themeColor="accent5" w:themeShade="BF"/>
                          <w:sz w:val="24"/>
                          <w:szCs w:val="24"/>
                        </w:rPr>
                        <w:t>Externally focused – risk-taking</w:t>
                      </w:r>
                    </w:p>
                  </w:txbxContent>
                </v:textbox>
              </v:shape>
            </w:pict>
          </mc:Fallback>
        </mc:AlternateContent>
      </w:r>
      <w:r w:rsidR="00144D5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156258" wp14:editId="535E798A">
                <wp:simplePos x="0" y="0"/>
                <wp:positionH relativeFrom="margin">
                  <wp:align>left</wp:align>
                </wp:positionH>
                <wp:positionV relativeFrom="paragraph">
                  <wp:posOffset>55659</wp:posOffset>
                </wp:positionV>
                <wp:extent cx="2043430" cy="52393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52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3D2D" w14:textId="1E5C8729" w:rsidR="00144D5B" w:rsidRDefault="00144D5B">
                            <w:r>
                              <w:t xml:space="preserve">This diagram highlights </w:t>
                            </w:r>
                            <w:r w:rsidR="0026339B">
                              <w:t>centrality of infor</w:t>
                            </w:r>
                            <w:r w:rsidR="00345201">
                              <w:t>med decision making.</w:t>
                            </w:r>
                          </w:p>
                          <w:p w14:paraId="5EB9E35E" w14:textId="0F2750EC" w:rsidR="009503EC" w:rsidRDefault="009503EC">
                            <w:r>
                              <w:t>Risk appetite is located at the strategic level.</w:t>
                            </w:r>
                          </w:p>
                          <w:p w14:paraId="711BE83C" w14:textId="219950C7" w:rsidR="009503EC" w:rsidRDefault="009503EC">
                            <w:r>
                              <w:t>Risk tolerance is located at the operational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6258" id="_x0000_s1030" type="#_x0000_t202" style="position:absolute;left:0;text-align:left;margin-left:0;margin-top:4.4pt;width:160.9pt;height:412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XOJQIAACUEAAAOAAAAZHJzL2Uyb0RvYy54bWysU9uO2yAQfa/Uf0C8N77E6W6sOKtttqkq&#10;bS/Sbj8AYxyjAuMCiZ1+/Q44SaPtW1UeEMMMh5kzZ1Z3o1bkIKyTYCqazVJKhOHQSLOr6I/n7btb&#10;SpxnpmEKjKjoUTh6t377ZjX0pcihA9UISxDEuHLoK9p535dJ4ngnNHMz6IVBZwtWM4+m3SWNZQOi&#10;a5Xkafo+GcA2vQUunMPbh8lJ1xG/bQX339rWCU9URTE3H3cb9zrsyXrFyp1lfSf5KQ32D1loJg1+&#10;eoF6YJ6RvZV/QWnJLTho/YyDTqBtJRexBqwmS19V89SxXsRakBzXX2hy/w+Wfz18t0Q2Fc2zG0oM&#10;09ikZzF68gFGkgd+ht6VGPbUY6Af8Rr7HGt1/SPwn44Y2HTM7MS9tTB0gjWYXxZeJldPJxwXQOrh&#10;CzT4Ddt7iEBja3UgD+kgiI59Ol56E1LheJmnxbyYo4ujb5HPl8ssdi9h5fl5b53/JECTcKioxeZH&#10;eHZ4dD6kw8pzSPjNgZLNVioVDburN8qSA0OhbOOKFbwKU4YMFV0u8kVENhDeRw1p6VHISuqK3qZh&#10;TdIKdHw0TQzxTKrpjJkoc+InUDKR48d6jK0ozrTX0ByRMAuTbnHO8NCB/U3JgJqtqPu1Z1ZQoj4b&#10;JH2ZFUUQeTSKxU2Ohr321NceZjhCVdRTMh03Pg5GoMPAPTanlZG20MUpk1PKqMXI5mlugtiv7Rj1&#10;Z7rXLwAAAP//AwBQSwMEFAAGAAgAAAAhALol3mfbAAAABgEAAA8AAABkcnMvZG93bnJldi54bWxM&#10;j81OwzAQhO9IvIO1SFwQddpAf0KcCpBAvbb0ATbxNomI11HsNunbs5zgNqNZzXybbyfXqQsNofVs&#10;YD5LQBFX3rZcGzh+fTyuQYWIbLHzTAauFGBb3N7kmFk/8p4uh1grKeGQoYEmxj7TOlQNOQwz3xNL&#10;dvKDwyh2qLUdcJRy1+lFkiy1w5ZlocGe3huqvg9nZ+C0Gx+eN2P5GY+r/dPyDdtV6a/G3N9Nry+g&#10;Ik3x7xh+8QUdCmEq/ZltUJ0BeSQaWAu+hOliLqIUn6Yb0EWu/+MXPwAAAP//AwBQSwECLQAUAAYA&#10;CAAAACEAtoM4kv4AAADhAQAAEwAAAAAAAAAAAAAAAAAAAAAAW0NvbnRlbnRfVHlwZXNdLnhtbFBL&#10;AQItABQABgAIAAAAIQA4/SH/1gAAAJQBAAALAAAAAAAAAAAAAAAAAC8BAABfcmVscy8ucmVsc1BL&#10;AQItABQABgAIAAAAIQAymKXOJQIAACUEAAAOAAAAAAAAAAAAAAAAAC4CAABkcnMvZTJvRG9jLnht&#10;bFBLAQItABQABgAIAAAAIQC6Jd5n2wAAAAYBAAAPAAAAAAAAAAAAAAAAAH8EAABkcnMvZG93bnJl&#10;di54bWxQSwUGAAAAAAQABADzAAAAhwUAAAAA&#10;" stroked="f">
                <v:textbox>
                  <w:txbxContent>
                    <w:p w14:paraId="05BA3D2D" w14:textId="1E5C8729" w:rsidR="00144D5B" w:rsidRDefault="00144D5B">
                      <w:r>
                        <w:t xml:space="preserve">This diagram highlights </w:t>
                      </w:r>
                      <w:r w:rsidR="0026339B">
                        <w:t>centrality of infor</w:t>
                      </w:r>
                      <w:r w:rsidR="00345201">
                        <w:t>med decision making.</w:t>
                      </w:r>
                    </w:p>
                    <w:p w14:paraId="5EB9E35E" w14:textId="0F2750EC" w:rsidR="009503EC" w:rsidRDefault="009503EC">
                      <w:r>
                        <w:t>Risk appetite is located at the strategic level.</w:t>
                      </w:r>
                    </w:p>
                    <w:p w14:paraId="711BE83C" w14:textId="219950C7" w:rsidR="009503EC" w:rsidRDefault="009503EC">
                      <w:r>
                        <w:t>Risk tolerance is located at the operational level.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501">
        <w:rPr>
          <w:noProof/>
        </w:rPr>
        <w:drawing>
          <wp:inline distT="0" distB="0" distL="0" distR="0" wp14:anchorId="11225F66" wp14:editId="3561E38F">
            <wp:extent cx="7381836" cy="5295900"/>
            <wp:effectExtent l="19050" t="19050" r="101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85521" cy="52985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D7F9F9" w14:textId="77777777" w:rsidR="0018736F" w:rsidRDefault="0018736F" w:rsidP="001201BE">
      <w:pPr>
        <w:pStyle w:val="Body"/>
        <w:sectPr w:rsidR="0018736F" w:rsidSect="003455E5">
          <w:type w:val="continuous"/>
          <w:pgSz w:w="16840" w:h="11900" w:orient="landscape"/>
          <w:pgMar w:top="1418" w:right="851" w:bottom="1134" w:left="851" w:header="567" w:footer="284" w:gutter="0"/>
          <w:cols w:space="708"/>
          <w:docGrid w:linePitch="360"/>
        </w:sectPr>
      </w:pPr>
    </w:p>
    <w:p w14:paraId="112501F8" w14:textId="2CCD0FE1" w:rsidR="000D2B95" w:rsidRDefault="000A6A7E" w:rsidP="00DF6EB6">
      <w:pPr>
        <w:pStyle w:val="Heading10"/>
        <w:rPr>
          <w:color w:val="auto"/>
        </w:rPr>
      </w:pPr>
      <w:r>
        <w:rPr>
          <w:color w:val="7030A0"/>
        </w:rPr>
        <w:lastRenderedPageBreak/>
        <w:t xml:space="preserve">Example 1 </w:t>
      </w:r>
      <w:bookmarkStart w:id="4" w:name="_Hlk529774762"/>
      <w:r w:rsidR="0018736F" w:rsidRPr="00DF6EB6">
        <w:rPr>
          <w:color w:val="auto"/>
        </w:rPr>
        <w:t xml:space="preserve">Risk </w:t>
      </w:r>
      <w:r w:rsidR="00422AA6">
        <w:rPr>
          <w:color w:val="auto"/>
        </w:rPr>
        <w:t>Appetite Statement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812"/>
        <w:gridCol w:w="2070"/>
        <w:gridCol w:w="1310"/>
        <w:gridCol w:w="1305"/>
        <w:gridCol w:w="1517"/>
      </w:tblGrid>
      <w:tr w:rsidR="008C1FD1" w:rsidRPr="008C1FD1" w14:paraId="0A3CF796" w14:textId="77777777" w:rsidTr="008218FF">
        <w:tc>
          <w:tcPr>
            <w:tcW w:w="15128" w:type="dxa"/>
            <w:gridSpan w:val="7"/>
          </w:tcPr>
          <w:p w14:paraId="4B220ED6" w14:textId="1A1B3AA8" w:rsidR="00F65510" w:rsidRPr="00345201" w:rsidRDefault="008C1FD1" w:rsidP="003452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345201">
              <w:rPr>
                <w:b/>
                <w:sz w:val="20"/>
                <w:szCs w:val="20"/>
                <w:lang w:val="en-AU"/>
              </w:rPr>
              <w:t>Overall Risk Appetite</w:t>
            </w:r>
          </w:p>
          <w:p w14:paraId="009FB705" w14:textId="0285A3E0" w:rsidR="008C1FD1" w:rsidRPr="00107B22" w:rsidRDefault="009503EC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9503EC">
              <w:rPr>
                <w:rFonts w:cs="Arial"/>
                <w:color w:val="auto"/>
                <w:sz w:val="18"/>
                <w:szCs w:val="18"/>
              </w:rPr>
              <w:t xml:space="preserve">We want everyone to </w:t>
            </w:r>
            <w:r w:rsidR="00CF13AD">
              <w:rPr>
                <w:rFonts w:cs="Arial"/>
                <w:color w:val="auto"/>
                <w:sz w:val="18"/>
                <w:szCs w:val="18"/>
              </w:rPr>
              <w:t>take responsibility</w:t>
            </w:r>
            <w:r w:rsidRPr="009503EC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F13AD">
              <w:rPr>
                <w:rFonts w:cs="Arial"/>
                <w:color w:val="auto"/>
                <w:sz w:val="18"/>
                <w:szCs w:val="18"/>
              </w:rPr>
              <w:t>for the management of risk in our organisation</w:t>
            </w:r>
            <w:r w:rsidRPr="009503EC">
              <w:rPr>
                <w:rFonts w:cs="Arial"/>
                <w:color w:val="auto"/>
                <w:sz w:val="18"/>
                <w:szCs w:val="18"/>
              </w:rPr>
              <w:t xml:space="preserve">. Specifically, we are </w:t>
            </w:r>
            <w:r w:rsidR="00CF13AD" w:rsidRPr="009503EC">
              <w:rPr>
                <w:rFonts w:cs="Arial"/>
                <w:color w:val="auto"/>
                <w:sz w:val="18"/>
                <w:szCs w:val="18"/>
              </w:rPr>
              <w:t>willing</w:t>
            </w:r>
            <w:r w:rsidRPr="009503EC">
              <w:rPr>
                <w:rFonts w:cs="Arial"/>
                <w:color w:val="auto"/>
                <w:sz w:val="18"/>
                <w:szCs w:val="18"/>
              </w:rPr>
              <w:t xml:space="preserve"> to engage with higher levels of risk </w:t>
            </w:r>
            <w:r w:rsidR="00CF13AD">
              <w:rPr>
                <w:rFonts w:cs="Arial"/>
                <w:color w:val="auto"/>
                <w:sz w:val="18"/>
                <w:szCs w:val="18"/>
              </w:rPr>
              <w:t>where the outcomes would benefit our clients. Conversely, we have little to no appetite for engaging with risk that could harm our clients.</w:t>
            </w:r>
          </w:p>
        </w:tc>
      </w:tr>
      <w:tr w:rsidR="008C1FD1" w:rsidRPr="008C1FD1" w14:paraId="72A291AF" w14:textId="77777777" w:rsidTr="002246E0">
        <w:tc>
          <w:tcPr>
            <w:tcW w:w="1413" w:type="dxa"/>
            <w:vMerge w:val="restart"/>
            <w:shd w:val="clear" w:color="auto" w:fill="003366"/>
            <w:vAlign w:val="center"/>
          </w:tcPr>
          <w:p w14:paraId="5FF2F4E2" w14:textId="1A0012B1" w:rsidR="007D37BC" w:rsidRPr="00BF5532" w:rsidRDefault="007D37BC" w:rsidP="00BF553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BF5532">
              <w:rPr>
                <w:b/>
                <w:sz w:val="20"/>
                <w:szCs w:val="20"/>
                <w:lang w:val="en-AU"/>
              </w:rPr>
              <w:t>Corporate</w:t>
            </w:r>
            <w:r w:rsidR="00BF5532">
              <w:rPr>
                <w:b/>
                <w:sz w:val="20"/>
                <w:szCs w:val="20"/>
                <w:lang w:val="en-AU"/>
              </w:rPr>
              <w:t xml:space="preserve"> </w:t>
            </w:r>
            <w:r w:rsidRPr="00BF5532">
              <w:rPr>
                <w:b/>
                <w:sz w:val="20"/>
                <w:szCs w:val="20"/>
                <w:lang w:val="en-AU"/>
              </w:rPr>
              <w:t>objective</w:t>
            </w:r>
          </w:p>
        </w:tc>
        <w:tc>
          <w:tcPr>
            <w:tcW w:w="1701" w:type="dxa"/>
            <w:vMerge w:val="restart"/>
            <w:shd w:val="clear" w:color="auto" w:fill="003366"/>
            <w:vAlign w:val="center"/>
          </w:tcPr>
          <w:p w14:paraId="06A95AB5" w14:textId="7A8C3DA2" w:rsidR="007D37BC" w:rsidRPr="00BF5532" w:rsidRDefault="007D37BC" w:rsidP="00BF553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BF5532">
              <w:rPr>
                <w:b/>
                <w:sz w:val="20"/>
                <w:szCs w:val="20"/>
                <w:lang w:val="en-AU"/>
              </w:rPr>
              <w:t>Risk</w:t>
            </w:r>
            <w:r w:rsidR="00BF5532">
              <w:rPr>
                <w:b/>
                <w:sz w:val="20"/>
                <w:szCs w:val="20"/>
                <w:lang w:val="en-AU"/>
              </w:rPr>
              <w:t xml:space="preserve"> </w:t>
            </w:r>
            <w:r w:rsidRPr="00BF5532">
              <w:rPr>
                <w:b/>
                <w:sz w:val="20"/>
                <w:szCs w:val="20"/>
                <w:lang w:val="en-AU"/>
              </w:rPr>
              <w:t>category</w:t>
            </w:r>
          </w:p>
        </w:tc>
        <w:tc>
          <w:tcPr>
            <w:tcW w:w="5812" w:type="dxa"/>
            <w:vMerge w:val="restart"/>
            <w:shd w:val="clear" w:color="auto" w:fill="003366"/>
            <w:vAlign w:val="center"/>
          </w:tcPr>
          <w:p w14:paraId="2A099065" w14:textId="03CF1100" w:rsidR="007D37BC" w:rsidRPr="00BF5532" w:rsidRDefault="007D37BC" w:rsidP="00BF5532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Risk appetite statement</w:t>
            </w:r>
          </w:p>
        </w:tc>
        <w:tc>
          <w:tcPr>
            <w:tcW w:w="2070" w:type="dxa"/>
            <w:vMerge w:val="restart"/>
            <w:shd w:val="clear" w:color="auto" w:fill="003366"/>
            <w:vAlign w:val="center"/>
          </w:tcPr>
          <w:p w14:paraId="4BF546D6" w14:textId="5A49103B" w:rsidR="007D37BC" w:rsidRPr="00BF5532" w:rsidRDefault="007D37BC" w:rsidP="00BF5532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Source / Indicator</w:t>
            </w:r>
          </w:p>
        </w:tc>
        <w:tc>
          <w:tcPr>
            <w:tcW w:w="4132" w:type="dxa"/>
            <w:gridSpan w:val="3"/>
            <w:shd w:val="clear" w:color="auto" w:fill="003366"/>
            <w:vAlign w:val="center"/>
          </w:tcPr>
          <w:p w14:paraId="6F322AD8" w14:textId="747CB6F4" w:rsidR="007D37BC" w:rsidRPr="00BF5532" w:rsidRDefault="007D37BC" w:rsidP="00BF5532">
            <w:pPr>
              <w:pStyle w:val="Heading1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Risk tolerance range</w:t>
            </w:r>
          </w:p>
        </w:tc>
      </w:tr>
      <w:tr w:rsidR="008C1FD1" w:rsidRPr="008C1FD1" w14:paraId="2A143EF1" w14:textId="77777777" w:rsidTr="002246E0">
        <w:tc>
          <w:tcPr>
            <w:tcW w:w="1413" w:type="dxa"/>
            <w:vMerge/>
            <w:shd w:val="clear" w:color="auto" w:fill="003366"/>
          </w:tcPr>
          <w:p w14:paraId="61BBD218" w14:textId="77777777" w:rsidR="007D37BC" w:rsidRPr="00BF5532" w:rsidRDefault="007D37BC" w:rsidP="00DF6EB6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003366"/>
          </w:tcPr>
          <w:p w14:paraId="7D77D5BB" w14:textId="1C59091A" w:rsidR="007D37BC" w:rsidRPr="00BF5532" w:rsidRDefault="007D37BC" w:rsidP="00DF6EB6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003366"/>
          </w:tcPr>
          <w:p w14:paraId="794F602A" w14:textId="77777777" w:rsidR="007D37BC" w:rsidRPr="00BF5532" w:rsidRDefault="007D37BC" w:rsidP="00DF6EB6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003366"/>
          </w:tcPr>
          <w:p w14:paraId="75292790" w14:textId="77777777" w:rsidR="007D37BC" w:rsidRPr="00BF5532" w:rsidRDefault="007D37BC" w:rsidP="00DF6EB6">
            <w:pPr>
              <w:pStyle w:val="Heading1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003366"/>
          </w:tcPr>
          <w:p w14:paraId="46DFA657" w14:textId="730C76D1" w:rsidR="007D37BC" w:rsidRPr="00BF5532" w:rsidRDefault="007D37BC" w:rsidP="008C1FD1">
            <w:pPr>
              <w:pStyle w:val="Heading1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Acceptable</w:t>
            </w:r>
          </w:p>
        </w:tc>
        <w:tc>
          <w:tcPr>
            <w:tcW w:w="1305" w:type="dxa"/>
            <w:shd w:val="clear" w:color="auto" w:fill="003366"/>
          </w:tcPr>
          <w:p w14:paraId="0CFD2828" w14:textId="1EB18596" w:rsidR="007D37BC" w:rsidRPr="00BF5532" w:rsidRDefault="007D37BC" w:rsidP="008C1FD1">
            <w:pPr>
              <w:pStyle w:val="Heading1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Tolerable</w:t>
            </w:r>
          </w:p>
        </w:tc>
        <w:tc>
          <w:tcPr>
            <w:tcW w:w="1517" w:type="dxa"/>
            <w:shd w:val="clear" w:color="auto" w:fill="003366"/>
          </w:tcPr>
          <w:p w14:paraId="66FA441F" w14:textId="13312228" w:rsidR="007D37BC" w:rsidRPr="00BF5532" w:rsidRDefault="007D37BC" w:rsidP="008C1FD1">
            <w:pPr>
              <w:pStyle w:val="Heading1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BF5532">
              <w:rPr>
                <w:rFonts w:cs="Arial"/>
                <w:b/>
                <w:color w:val="auto"/>
                <w:sz w:val="20"/>
                <w:szCs w:val="20"/>
              </w:rPr>
              <w:t>Unacceptable</w:t>
            </w:r>
          </w:p>
        </w:tc>
      </w:tr>
      <w:tr w:rsidR="008C1FD1" w:rsidRPr="008C1FD1" w14:paraId="707E5A91" w14:textId="77777777" w:rsidTr="00BF5532">
        <w:tc>
          <w:tcPr>
            <w:tcW w:w="1413" w:type="dxa"/>
            <w:vMerge w:val="restart"/>
          </w:tcPr>
          <w:p w14:paraId="65BF69AF" w14:textId="18CF1165" w:rsidR="008C1FD1" w:rsidRPr="00BF5532" w:rsidRDefault="008C1FD1" w:rsidP="00BF553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Become an employer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of choice in our sector</w:t>
            </w:r>
          </w:p>
        </w:tc>
        <w:tc>
          <w:tcPr>
            <w:tcW w:w="1701" w:type="dxa"/>
          </w:tcPr>
          <w:p w14:paraId="7B463902" w14:textId="1EBED8D4" w:rsidR="008C1FD1" w:rsidRPr="00BF5532" w:rsidRDefault="008C1FD1" w:rsidP="00F65510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Financial</w:t>
            </w:r>
          </w:p>
        </w:tc>
        <w:tc>
          <w:tcPr>
            <w:tcW w:w="5812" w:type="dxa"/>
          </w:tcPr>
          <w:p w14:paraId="0A71D649" w14:textId="71C3A74A" w:rsidR="008C1FD1" w:rsidRPr="00BF5532" w:rsidRDefault="008C1FD1" w:rsidP="007D37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 xml:space="preserve">A </w:t>
            </w:r>
            <w:r w:rsidR="00DC7574">
              <w:rPr>
                <w:b/>
                <w:sz w:val="18"/>
                <w:szCs w:val="18"/>
                <w:lang w:val="en-AU"/>
              </w:rPr>
              <w:t>cautious</w:t>
            </w:r>
            <w:r w:rsidRPr="00BF5532">
              <w:rPr>
                <w:b/>
                <w:sz w:val="18"/>
                <w:szCs w:val="18"/>
                <w:lang w:val="en-AU"/>
              </w:rPr>
              <w:t xml:space="preserve"> appetite</w:t>
            </w:r>
            <w:r w:rsidRPr="00BF5532">
              <w:rPr>
                <w:sz w:val="18"/>
                <w:szCs w:val="18"/>
                <w:lang w:val="en-AU"/>
              </w:rPr>
              <w:t xml:space="preserve"> for financial volatility and desire to carefully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control costs.</w:t>
            </w:r>
          </w:p>
          <w:p w14:paraId="50060B25" w14:textId="3445CAD9" w:rsidR="008C1FD1" w:rsidRPr="00BF5532" w:rsidRDefault="008C1FD1" w:rsidP="007D37BC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 xml:space="preserve">We operate within the approved budget expenditure limit of </w:t>
            </w: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≤</w:t>
            </w:r>
            <w:r w:rsidRPr="00BF5532">
              <w:rPr>
                <w:rFonts w:cs="Arial"/>
                <w:color w:val="auto"/>
                <w:sz w:val="18"/>
                <w:szCs w:val="18"/>
              </w:rPr>
              <w:t>5.0%.</w:t>
            </w:r>
          </w:p>
        </w:tc>
        <w:tc>
          <w:tcPr>
            <w:tcW w:w="2070" w:type="dxa"/>
          </w:tcPr>
          <w:p w14:paraId="12E66961" w14:textId="7B02DDA0" w:rsidR="008C1FD1" w:rsidRPr="0014280A" w:rsidRDefault="008C1FD1" w:rsidP="0014280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Annual board approved</w:t>
            </w:r>
            <w:r w:rsidR="0014280A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budget</w:t>
            </w:r>
          </w:p>
        </w:tc>
        <w:tc>
          <w:tcPr>
            <w:tcW w:w="1310" w:type="dxa"/>
          </w:tcPr>
          <w:p w14:paraId="2C656709" w14:textId="3DF02B5C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1.0% – 2.5%</w:t>
            </w:r>
          </w:p>
        </w:tc>
        <w:tc>
          <w:tcPr>
            <w:tcW w:w="1305" w:type="dxa"/>
          </w:tcPr>
          <w:p w14:paraId="492E91F8" w14:textId="6EB6F0F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2.5% – 5.0%</w:t>
            </w:r>
          </w:p>
        </w:tc>
        <w:tc>
          <w:tcPr>
            <w:tcW w:w="1517" w:type="dxa"/>
          </w:tcPr>
          <w:p w14:paraId="1AA2BECC" w14:textId="0D6F9255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&gt;5.0%</w:t>
            </w:r>
          </w:p>
        </w:tc>
      </w:tr>
      <w:tr w:rsidR="008C1FD1" w:rsidRPr="008C1FD1" w14:paraId="2D21E5A3" w14:textId="77777777" w:rsidTr="00BF5532">
        <w:tc>
          <w:tcPr>
            <w:tcW w:w="1413" w:type="dxa"/>
            <w:vMerge/>
          </w:tcPr>
          <w:p w14:paraId="3A65714D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0B85DEE" w14:textId="37239C43" w:rsidR="008C1FD1" w:rsidRPr="00041714" w:rsidRDefault="008C1FD1" w:rsidP="0004171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Human</w:t>
            </w:r>
            <w:r w:rsidR="00041714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Resources</w:t>
            </w:r>
          </w:p>
        </w:tc>
        <w:tc>
          <w:tcPr>
            <w:tcW w:w="5812" w:type="dxa"/>
            <w:vMerge w:val="restart"/>
          </w:tcPr>
          <w:p w14:paraId="3AE9F6F1" w14:textId="302D882D" w:rsidR="008C1FD1" w:rsidRPr="00BF5532" w:rsidRDefault="008C1FD1" w:rsidP="007D37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A</w:t>
            </w:r>
            <w:r w:rsidR="00DC7574">
              <w:rPr>
                <w:sz w:val="18"/>
                <w:szCs w:val="18"/>
                <w:lang w:val="en-AU"/>
              </w:rPr>
              <w:t>n</w:t>
            </w:r>
            <w:r w:rsidRPr="00BF5532">
              <w:rPr>
                <w:sz w:val="18"/>
                <w:szCs w:val="18"/>
                <w:lang w:val="en-AU"/>
              </w:rPr>
              <w:t xml:space="preserve"> </w:t>
            </w:r>
            <w:r w:rsidR="00DC7574">
              <w:rPr>
                <w:b/>
                <w:sz w:val="18"/>
                <w:szCs w:val="18"/>
                <w:lang w:val="en-AU"/>
              </w:rPr>
              <w:t>accepting</w:t>
            </w:r>
            <w:r w:rsidRPr="00BF5532">
              <w:rPr>
                <w:b/>
                <w:sz w:val="18"/>
                <w:szCs w:val="18"/>
                <w:lang w:val="en-AU"/>
              </w:rPr>
              <w:t xml:space="preserve"> appetite</w:t>
            </w:r>
            <w:r w:rsidRPr="00BF5532">
              <w:rPr>
                <w:sz w:val="18"/>
                <w:szCs w:val="18"/>
                <w:lang w:val="en-AU"/>
              </w:rPr>
              <w:t xml:space="preserve"> for applying new approaches to ensure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 xml:space="preserve">we remain an employer of choice in our </w:t>
            </w:r>
            <w:r w:rsidR="00BF5532">
              <w:rPr>
                <w:sz w:val="18"/>
                <w:szCs w:val="18"/>
                <w:lang w:val="en-AU"/>
              </w:rPr>
              <w:t>region</w:t>
            </w:r>
            <w:r w:rsidRPr="00BF5532">
              <w:rPr>
                <w:sz w:val="18"/>
                <w:szCs w:val="18"/>
                <w:lang w:val="en-AU"/>
              </w:rPr>
              <w:t>, while maintaining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safety and service levels.</w:t>
            </w:r>
          </w:p>
          <w:p w14:paraId="3CB35F22" w14:textId="77777777" w:rsidR="008C1FD1" w:rsidRPr="00BF5532" w:rsidRDefault="008C1FD1" w:rsidP="007D37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We will do this by:</w:t>
            </w:r>
          </w:p>
          <w:p w14:paraId="0E0B322E" w14:textId="2BE796A5" w:rsidR="008C1FD1" w:rsidRPr="00BF5532" w:rsidRDefault="008C1FD1" w:rsidP="007D37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• maintaining an annualised staff turnover rate of 15% or less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over a rolling 12-month period.</w:t>
            </w:r>
          </w:p>
          <w:p w14:paraId="15D369E8" w14:textId="1CA178F9" w:rsidR="008C1FD1" w:rsidRPr="00BF5532" w:rsidRDefault="008C1FD1" w:rsidP="007D37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 xml:space="preserve">• ensuring our rate of staff absenteeism remains at </w:t>
            </w:r>
            <w:r w:rsidRPr="00BF5532">
              <w:rPr>
                <w:rFonts w:eastAsia="SymbolMT"/>
                <w:sz w:val="18"/>
                <w:szCs w:val="18"/>
                <w:lang w:val="en-AU"/>
              </w:rPr>
              <w:t>≤</w:t>
            </w:r>
            <w:r w:rsidRPr="00BF5532">
              <w:rPr>
                <w:sz w:val="18"/>
                <w:szCs w:val="18"/>
                <w:lang w:val="en-AU"/>
              </w:rPr>
              <w:t>3% in</w:t>
            </w:r>
            <w:r w:rsidR="00BF5532" w:rsidRPr="00BF5532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each month.</w:t>
            </w:r>
          </w:p>
          <w:p w14:paraId="1BF84DD4" w14:textId="02C6DB9E" w:rsidR="008C1FD1" w:rsidRPr="00BF5532" w:rsidRDefault="008C1FD1" w:rsidP="007D37BC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• less than five accepted workers’ compensation claims annually</w:t>
            </w:r>
            <w:r w:rsidR="00BF5532" w:rsidRPr="00BF5532">
              <w:rPr>
                <w:rFonts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1FCE73BE" w14:textId="45BFE3DB" w:rsidR="008C1FD1" w:rsidRPr="00286C63" w:rsidRDefault="008C1FD1" w:rsidP="00286C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Median staff initiated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turnover rate for public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sector agencies</w:t>
            </w:r>
          </w:p>
        </w:tc>
        <w:tc>
          <w:tcPr>
            <w:tcW w:w="1310" w:type="dxa"/>
          </w:tcPr>
          <w:p w14:paraId="4E3AFC91" w14:textId="740BD283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≤15%</w:t>
            </w:r>
          </w:p>
        </w:tc>
        <w:tc>
          <w:tcPr>
            <w:tcW w:w="1305" w:type="dxa"/>
          </w:tcPr>
          <w:p w14:paraId="47F81786" w14:textId="51A84ECD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15% – 17%</w:t>
            </w:r>
          </w:p>
        </w:tc>
        <w:tc>
          <w:tcPr>
            <w:tcW w:w="1517" w:type="dxa"/>
          </w:tcPr>
          <w:p w14:paraId="13AB4926" w14:textId="053115C3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≥17%</w:t>
            </w:r>
          </w:p>
        </w:tc>
      </w:tr>
      <w:tr w:rsidR="008C1FD1" w:rsidRPr="008C1FD1" w14:paraId="32943464" w14:textId="77777777" w:rsidTr="00BF5532">
        <w:tc>
          <w:tcPr>
            <w:tcW w:w="1413" w:type="dxa"/>
            <w:vMerge/>
          </w:tcPr>
          <w:p w14:paraId="087365DA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E17022F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14:paraId="63BBA26F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53629A" w14:textId="1B708419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VPS benchmark</w:t>
            </w:r>
          </w:p>
        </w:tc>
        <w:tc>
          <w:tcPr>
            <w:tcW w:w="1310" w:type="dxa"/>
          </w:tcPr>
          <w:p w14:paraId="09FA8577" w14:textId="7ED5A39D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&lt;3.0%</w:t>
            </w:r>
          </w:p>
        </w:tc>
        <w:tc>
          <w:tcPr>
            <w:tcW w:w="1305" w:type="dxa"/>
          </w:tcPr>
          <w:p w14:paraId="6ADEDFB3" w14:textId="6D096AC3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3.0% – 5.0%</w:t>
            </w:r>
          </w:p>
        </w:tc>
        <w:tc>
          <w:tcPr>
            <w:tcW w:w="1517" w:type="dxa"/>
          </w:tcPr>
          <w:p w14:paraId="0338BC15" w14:textId="1186730B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&gt; 5.0%</w:t>
            </w:r>
          </w:p>
        </w:tc>
      </w:tr>
      <w:tr w:rsidR="008C1FD1" w:rsidRPr="008C1FD1" w14:paraId="60559ED4" w14:textId="77777777" w:rsidTr="00BF5532">
        <w:tc>
          <w:tcPr>
            <w:tcW w:w="1413" w:type="dxa"/>
            <w:vMerge/>
          </w:tcPr>
          <w:p w14:paraId="7AAAB419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CC16C7" w14:textId="4564856F" w:rsidR="008C1FD1" w:rsidRPr="00BF5532" w:rsidRDefault="008C1FD1" w:rsidP="00F65510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14:paraId="0D926ECB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5B11274" w14:textId="738F817C" w:rsidR="008C1FD1" w:rsidRPr="00BF5532" w:rsidRDefault="00D27346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2019</w:t>
            </w:r>
            <w:r w:rsidR="008C1FD1" w:rsidRPr="00BF5532">
              <w:rPr>
                <w:rFonts w:cs="Arial"/>
                <w:color w:val="auto"/>
                <w:sz w:val="18"/>
                <w:szCs w:val="18"/>
              </w:rPr>
              <w:t xml:space="preserve"> sector benchmark</w:t>
            </w:r>
          </w:p>
        </w:tc>
        <w:tc>
          <w:tcPr>
            <w:tcW w:w="1310" w:type="dxa"/>
          </w:tcPr>
          <w:p w14:paraId="351DB92B" w14:textId="579B8FCD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&lt;5</w:t>
            </w:r>
          </w:p>
        </w:tc>
        <w:tc>
          <w:tcPr>
            <w:tcW w:w="1305" w:type="dxa"/>
          </w:tcPr>
          <w:p w14:paraId="505575F8" w14:textId="4546549D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5 –7</w:t>
            </w:r>
          </w:p>
        </w:tc>
        <w:tc>
          <w:tcPr>
            <w:tcW w:w="1517" w:type="dxa"/>
          </w:tcPr>
          <w:p w14:paraId="799B92A4" w14:textId="58714799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&gt;7</w:t>
            </w:r>
          </w:p>
        </w:tc>
      </w:tr>
      <w:tr w:rsidR="008C1FD1" w:rsidRPr="008C1FD1" w14:paraId="61F9470F" w14:textId="77777777" w:rsidTr="00BF5532">
        <w:tc>
          <w:tcPr>
            <w:tcW w:w="1413" w:type="dxa"/>
            <w:vMerge/>
          </w:tcPr>
          <w:p w14:paraId="4FBB1198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9EC13E" w14:textId="2B66BBCB" w:rsidR="008C1FD1" w:rsidRPr="00041714" w:rsidRDefault="008C1FD1" w:rsidP="0004171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Service</w:t>
            </w:r>
            <w:r w:rsidR="00041714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Delivery</w:t>
            </w:r>
          </w:p>
        </w:tc>
        <w:tc>
          <w:tcPr>
            <w:tcW w:w="5812" w:type="dxa"/>
          </w:tcPr>
          <w:p w14:paraId="07619A58" w14:textId="10BC6E31" w:rsidR="008C1FD1" w:rsidRPr="00BF5532" w:rsidRDefault="008C1FD1" w:rsidP="008C1F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 xml:space="preserve">A </w:t>
            </w:r>
            <w:r w:rsidR="00DC7574">
              <w:rPr>
                <w:b/>
                <w:sz w:val="18"/>
                <w:szCs w:val="18"/>
                <w:lang w:val="en-AU"/>
              </w:rPr>
              <w:t>cautious</w:t>
            </w:r>
            <w:r w:rsidRPr="00BF5532">
              <w:rPr>
                <w:b/>
                <w:sz w:val="18"/>
                <w:szCs w:val="18"/>
                <w:lang w:val="en-AU"/>
              </w:rPr>
              <w:t xml:space="preserve"> appetite</w:t>
            </w:r>
            <w:r w:rsidRPr="00BF5532">
              <w:rPr>
                <w:sz w:val="18"/>
                <w:szCs w:val="18"/>
                <w:lang w:val="en-AU"/>
              </w:rPr>
              <w:t xml:space="preserve"> to lose a valued position of trust with our clients.</w:t>
            </w:r>
          </w:p>
          <w:p w14:paraId="23685D3D" w14:textId="1C9DF242" w:rsidR="008C1FD1" w:rsidRPr="00015E52" w:rsidRDefault="008C1FD1" w:rsidP="00015E52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We will maintain a level of client engagement of at least 85%.</w:t>
            </w:r>
          </w:p>
        </w:tc>
        <w:tc>
          <w:tcPr>
            <w:tcW w:w="2070" w:type="dxa"/>
          </w:tcPr>
          <w:p w14:paraId="75CDAE58" w14:textId="31E1838E" w:rsidR="008C1FD1" w:rsidRPr="00286C63" w:rsidRDefault="008C1FD1" w:rsidP="00286C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Board-approved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minimum level</w:t>
            </w:r>
          </w:p>
        </w:tc>
        <w:tc>
          <w:tcPr>
            <w:tcW w:w="1310" w:type="dxa"/>
          </w:tcPr>
          <w:p w14:paraId="6EA66738" w14:textId="13551F26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≥85%</w:t>
            </w:r>
          </w:p>
        </w:tc>
        <w:tc>
          <w:tcPr>
            <w:tcW w:w="1305" w:type="dxa"/>
          </w:tcPr>
          <w:p w14:paraId="00D2B5ED" w14:textId="5487CC4A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75% – 80%</w:t>
            </w:r>
          </w:p>
        </w:tc>
        <w:tc>
          <w:tcPr>
            <w:tcW w:w="1517" w:type="dxa"/>
          </w:tcPr>
          <w:p w14:paraId="2E99EBD6" w14:textId="792B672B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≤75%</w:t>
            </w:r>
          </w:p>
        </w:tc>
      </w:tr>
      <w:tr w:rsidR="008C1FD1" w:rsidRPr="008C1FD1" w14:paraId="05D714C1" w14:textId="77777777" w:rsidTr="00BF5532">
        <w:tc>
          <w:tcPr>
            <w:tcW w:w="1413" w:type="dxa"/>
            <w:vMerge/>
          </w:tcPr>
          <w:p w14:paraId="680FD96A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149698" w14:textId="55131DBB" w:rsidR="008C1FD1" w:rsidRPr="00BF5532" w:rsidRDefault="008C1FD1" w:rsidP="00F65510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Projects</w:t>
            </w:r>
          </w:p>
        </w:tc>
        <w:tc>
          <w:tcPr>
            <w:tcW w:w="5812" w:type="dxa"/>
          </w:tcPr>
          <w:p w14:paraId="70355706" w14:textId="77777777" w:rsidR="00015E52" w:rsidRPr="00BF5532" w:rsidRDefault="00015E52" w:rsidP="00015E5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A</w:t>
            </w:r>
            <w:r>
              <w:rPr>
                <w:sz w:val="18"/>
                <w:szCs w:val="18"/>
                <w:lang w:val="en-AU"/>
              </w:rPr>
              <w:t>n</w:t>
            </w:r>
            <w:r w:rsidRPr="00BF5532">
              <w:rPr>
                <w:sz w:val="18"/>
                <w:szCs w:val="18"/>
                <w:lang w:val="en-AU"/>
              </w:rPr>
              <w:t xml:space="preserve"> </w:t>
            </w:r>
            <w:r>
              <w:rPr>
                <w:b/>
                <w:sz w:val="18"/>
                <w:szCs w:val="18"/>
                <w:lang w:val="en-AU"/>
              </w:rPr>
              <w:t>accepting</w:t>
            </w:r>
            <w:r w:rsidRPr="00BF5532">
              <w:rPr>
                <w:b/>
                <w:sz w:val="18"/>
                <w:szCs w:val="18"/>
                <w:lang w:val="en-AU"/>
              </w:rPr>
              <w:t xml:space="preserve"> appetite</w:t>
            </w:r>
            <w:r w:rsidRPr="00BF5532">
              <w:rPr>
                <w:sz w:val="18"/>
                <w:szCs w:val="18"/>
                <w:lang w:val="en-AU"/>
              </w:rPr>
              <w:t xml:space="preserve"> to innovate through projects and R&amp;D</w:t>
            </w:r>
          </w:p>
          <w:p w14:paraId="49587578" w14:textId="77777777" w:rsidR="00015E52" w:rsidRPr="00BF5532" w:rsidRDefault="00015E52" w:rsidP="00015E5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to benefit our clients.</w:t>
            </w:r>
          </w:p>
          <w:p w14:paraId="07E20BF4" w14:textId="619F52D6" w:rsidR="008C1FD1" w:rsidRPr="00BF5532" w:rsidRDefault="00015E52" w:rsidP="00015E52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015E52">
              <w:rPr>
                <w:rFonts w:cs="Arial"/>
                <w:color w:val="auto"/>
                <w:sz w:val="18"/>
                <w:szCs w:val="18"/>
              </w:rPr>
              <w:t xml:space="preserve">We accept that 10% of project effort may not result in immediate or direct client benefits </w:t>
            </w:r>
            <w:proofErr w:type="gramStart"/>
            <w:r w:rsidRPr="00015E52">
              <w:rPr>
                <w:rFonts w:cs="Arial"/>
                <w:color w:val="auto"/>
                <w:sz w:val="18"/>
                <w:szCs w:val="18"/>
              </w:rPr>
              <w:t>as long as</w:t>
            </w:r>
            <w:proofErr w:type="gramEnd"/>
            <w:r w:rsidRPr="00015E52">
              <w:rPr>
                <w:rFonts w:cs="Arial"/>
                <w:color w:val="auto"/>
                <w:sz w:val="18"/>
                <w:szCs w:val="18"/>
              </w:rPr>
              <w:t xml:space="preserve"> lessons are learned for future services and products.</w:t>
            </w:r>
          </w:p>
        </w:tc>
        <w:tc>
          <w:tcPr>
            <w:tcW w:w="2070" w:type="dxa"/>
          </w:tcPr>
          <w:p w14:paraId="05F1551A" w14:textId="5315C968" w:rsidR="008C1FD1" w:rsidRPr="00286C63" w:rsidRDefault="008C1FD1" w:rsidP="00286C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Annual board approved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budget</w:t>
            </w:r>
          </w:p>
        </w:tc>
        <w:tc>
          <w:tcPr>
            <w:tcW w:w="1310" w:type="dxa"/>
          </w:tcPr>
          <w:p w14:paraId="165A8889" w14:textId="575E67A6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eastAsia="SymbolMT" w:cs="Arial"/>
                <w:color w:val="auto"/>
                <w:sz w:val="18"/>
                <w:szCs w:val="18"/>
              </w:rPr>
              <w:t>≥10%</w:t>
            </w:r>
          </w:p>
        </w:tc>
        <w:tc>
          <w:tcPr>
            <w:tcW w:w="1305" w:type="dxa"/>
          </w:tcPr>
          <w:p w14:paraId="2A34AB30" w14:textId="35676FCC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10% – 20%</w:t>
            </w:r>
          </w:p>
        </w:tc>
        <w:tc>
          <w:tcPr>
            <w:tcW w:w="1517" w:type="dxa"/>
          </w:tcPr>
          <w:p w14:paraId="41982BDA" w14:textId="0478CAB1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BF5532">
              <w:rPr>
                <w:rFonts w:cs="Arial"/>
                <w:color w:val="auto"/>
                <w:sz w:val="18"/>
                <w:szCs w:val="18"/>
              </w:rPr>
              <w:t>&gt;20.0%</w:t>
            </w:r>
          </w:p>
        </w:tc>
      </w:tr>
      <w:tr w:rsidR="008C1FD1" w:rsidRPr="008C1FD1" w14:paraId="760D74E5" w14:textId="77777777" w:rsidTr="00BF5532">
        <w:tc>
          <w:tcPr>
            <w:tcW w:w="1413" w:type="dxa"/>
            <w:vMerge/>
          </w:tcPr>
          <w:p w14:paraId="626E297B" w14:textId="77777777" w:rsidR="008C1FD1" w:rsidRPr="00BF5532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3A3A69" w14:textId="0CB91E83" w:rsidR="008C1FD1" w:rsidRPr="00BF5532" w:rsidRDefault="008C1FD1" w:rsidP="00FB5CB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bookmarkStart w:id="5" w:name="_Hlk790728"/>
            <w:r w:rsidRPr="00BF5532">
              <w:rPr>
                <w:sz w:val="18"/>
                <w:szCs w:val="18"/>
                <w:lang w:val="en-AU"/>
              </w:rPr>
              <w:t>Information</w:t>
            </w:r>
            <w:r w:rsidR="00041714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Management</w:t>
            </w:r>
            <w:r w:rsidR="00041714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&amp; Legal</w:t>
            </w:r>
            <w:r w:rsidR="00041714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Compliance</w:t>
            </w:r>
            <w:bookmarkEnd w:id="5"/>
          </w:p>
        </w:tc>
        <w:tc>
          <w:tcPr>
            <w:tcW w:w="5812" w:type="dxa"/>
          </w:tcPr>
          <w:p w14:paraId="0FA64024" w14:textId="69BAD2F6" w:rsidR="008C1FD1" w:rsidRPr="00BF5532" w:rsidRDefault="008C1FD1" w:rsidP="008C1F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 xml:space="preserve">A very </w:t>
            </w:r>
            <w:r w:rsidR="004340D2">
              <w:rPr>
                <w:b/>
                <w:sz w:val="18"/>
                <w:szCs w:val="18"/>
                <w:lang w:val="en-AU"/>
              </w:rPr>
              <w:t>controlled</w:t>
            </w:r>
            <w:r w:rsidRPr="00BF5532">
              <w:rPr>
                <w:b/>
                <w:sz w:val="18"/>
                <w:szCs w:val="18"/>
                <w:lang w:val="en-AU"/>
              </w:rPr>
              <w:t xml:space="preserve"> appetite</w:t>
            </w:r>
            <w:r w:rsidRPr="00BF5532">
              <w:rPr>
                <w:sz w:val="18"/>
                <w:szCs w:val="18"/>
                <w:lang w:val="en-AU"/>
              </w:rPr>
              <w:t xml:space="preserve"> for information security breaches, frauds</w:t>
            </w:r>
            <w:r w:rsidR="00A437AB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or proven ethical complaints.</w:t>
            </w:r>
          </w:p>
          <w:p w14:paraId="4FDFA91B" w14:textId="77F76A62" w:rsidR="008C1FD1" w:rsidRPr="00BF5532" w:rsidRDefault="008C1FD1" w:rsidP="008C1FD1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282CFA">
              <w:rPr>
                <w:rFonts w:cs="Arial"/>
                <w:color w:val="auto"/>
                <w:sz w:val="18"/>
                <w:szCs w:val="18"/>
              </w:rPr>
              <w:t>We maintain a zero tolerance for such events.</w:t>
            </w:r>
          </w:p>
        </w:tc>
        <w:tc>
          <w:tcPr>
            <w:tcW w:w="2070" w:type="dxa"/>
          </w:tcPr>
          <w:p w14:paraId="52675E47" w14:textId="02080751" w:rsidR="008C1FD1" w:rsidRPr="00286C63" w:rsidRDefault="008C1FD1" w:rsidP="00286C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AU"/>
              </w:rPr>
            </w:pPr>
            <w:r w:rsidRPr="00BF5532">
              <w:rPr>
                <w:sz w:val="18"/>
                <w:szCs w:val="18"/>
                <w:lang w:val="en-AU"/>
              </w:rPr>
              <w:t>Government Information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  <w:lang w:val="en-AU"/>
              </w:rPr>
              <w:t>Security Policy Standard,</w:t>
            </w:r>
            <w:r w:rsidR="00286C63">
              <w:rPr>
                <w:sz w:val="18"/>
                <w:szCs w:val="18"/>
                <w:lang w:val="en-AU"/>
              </w:rPr>
              <w:t xml:space="preserve"> </w:t>
            </w:r>
            <w:r w:rsidRPr="00BF5532">
              <w:rPr>
                <w:sz w:val="18"/>
                <w:szCs w:val="18"/>
              </w:rPr>
              <w:t>Compliance Standard</w:t>
            </w:r>
          </w:p>
        </w:tc>
        <w:tc>
          <w:tcPr>
            <w:tcW w:w="1310" w:type="dxa"/>
          </w:tcPr>
          <w:p w14:paraId="6298B217" w14:textId="2455FFA1" w:rsidR="008C1FD1" w:rsidRPr="00282CFA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282CFA">
              <w:rPr>
                <w:rFonts w:cs="Arial"/>
                <w:color w:val="auto"/>
                <w:sz w:val="18"/>
                <w:szCs w:val="18"/>
              </w:rPr>
              <w:t>0 instances</w:t>
            </w:r>
          </w:p>
        </w:tc>
        <w:tc>
          <w:tcPr>
            <w:tcW w:w="1305" w:type="dxa"/>
          </w:tcPr>
          <w:p w14:paraId="16F51691" w14:textId="77777777" w:rsidR="008C1FD1" w:rsidRPr="00282CFA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36F75F7" w14:textId="1339874E" w:rsidR="008C1FD1" w:rsidRPr="00282CFA" w:rsidRDefault="008C1FD1" w:rsidP="00DF6EB6">
            <w:pPr>
              <w:pStyle w:val="Heading10"/>
              <w:rPr>
                <w:rFonts w:cs="Arial"/>
                <w:color w:val="auto"/>
                <w:sz w:val="18"/>
                <w:szCs w:val="18"/>
              </w:rPr>
            </w:pPr>
            <w:r w:rsidRPr="00282CFA">
              <w:rPr>
                <w:rFonts w:cs="Arial"/>
                <w:color w:val="auto"/>
                <w:sz w:val="18"/>
                <w:szCs w:val="18"/>
              </w:rPr>
              <w:t>0 instances</w:t>
            </w:r>
          </w:p>
        </w:tc>
      </w:tr>
    </w:tbl>
    <w:p w14:paraId="6C499244" w14:textId="77777777" w:rsidR="000338EB" w:rsidRDefault="000338EB" w:rsidP="00DF6EB6">
      <w:pPr>
        <w:pStyle w:val="Heading10"/>
        <w:rPr>
          <w:color w:val="7030A0"/>
        </w:rPr>
      </w:pPr>
    </w:p>
    <w:p w14:paraId="2791B04F" w14:textId="77777777" w:rsidR="000338EB" w:rsidRDefault="000338EB">
      <w:pPr>
        <w:spacing w:after="0" w:line="240" w:lineRule="auto"/>
        <w:rPr>
          <w:rFonts w:eastAsiaTheme="majorEastAsia" w:cstheme="majorBidi"/>
          <w:bCs/>
          <w:color w:val="7030A0"/>
          <w:sz w:val="30"/>
          <w:szCs w:val="28"/>
          <w:lang w:val="en-AU"/>
        </w:rPr>
      </w:pPr>
      <w:r>
        <w:rPr>
          <w:color w:val="7030A0"/>
        </w:rPr>
        <w:br w:type="page"/>
      </w:r>
    </w:p>
    <w:p w14:paraId="42C34E37" w14:textId="5D7D361C" w:rsidR="00DB7578" w:rsidRDefault="00602B1F" w:rsidP="00DF6EB6">
      <w:pPr>
        <w:pStyle w:val="Heading10"/>
        <w:rPr>
          <w:color w:val="auto"/>
        </w:rPr>
      </w:pPr>
      <w:r w:rsidRPr="00602B1F">
        <w:rPr>
          <w:color w:val="7030A0"/>
        </w:rPr>
        <w:lastRenderedPageBreak/>
        <w:t>Example</w:t>
      </w:r>
      <w:r>
        <w:rPr>
          <w:color w:val="7030A0"/>
        </w:rPr>
        <w:t xml:space="preserve"> 2</w:t>
      </w:r>
      <w:r>
        <w:rPr>
          <w:color w:val="auto"/>
        </w:rPr>
        <w:t xml:space="preserve"> Risk Appetite scale and definitions</w:t>
      </w:r>
    </w:p>
    <w:p w14:paraId="53B8BD40" w14:textId="7141124B" w:rsidR="00602B1F" w:rsidRDefault="00602B1F" w:rsidP="00DF6EB6">
      <w:pPr>
        <w:pStyle w:val="Heading10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3782"/>
        <w:gridCol w:w="3782"/>
        <w:gridCol w:w="3782"/>
      </w:tblGrid>
      <w:tr w:rsidR="00602B1F" w14:paraId="478889D0" w14:textId="77777777" w:rsidTr="001F0C9A">
        <w:tc>
          <w:tcPr>
            <w:tcW w:w="3782" w:type="dxa"/>
            <w:shd w:val="clear" w:color="auto" w:fill="003366"/>
          </w:tcPr>
          <w:p w14:paraId="429FAFB8" w14:textId="09B4F866" w:rsidR="00602B1F" w:rsidRPr="001F0C9A" w:rsidRDefault="00602B1F" w:rsidP="00DF6EB6">
            <w:pPr>
              <w:pStyle w:val="Heading10"/>
              <w:rPr>
                <w:b/>
                <w:color w:val="auto"/>
                <w:sz w:val="20"/>
                <w:szCs w:val="20"/>
              </w:rPr>
            </w:pPr>
            <w:r w:rsidRPr="001F0C9A">
              <w:rPr>
                <w:b/>
                <w:color w:val="auto"/>
                <w:sz w:val="20"/>
                <w:szCs w:val="20"/>
              </w:rPr>
              <w:t>Controlled (little-to-none)</w:t>
            </w:r>
          </w:p>
        </w:tc>
        <w:tc>
          <w:tcPr>
            <w:tcW w:w="3782" w:type="dxa"/>
            <w:shd w:val="clear" w:color="auto" w:fill="003366"/>
          </w:tcPr>
          <w:p w14:paraId="0324FA11" w14:textId="1D7346D2" w:rsidR="00602B1F" w:rsidRPr="001F0C9A" w:rsidRDefault="00602B1F" w:rsidP="00DF6EB6">
            <w:pPr>
              <w:pStyle w:val="Heading10"/>
              <w:rPr>
                <w:b/>
                <w:color w:val="auto"/>
                <w:sz w:val="20"/>
                <w:szCs w:val="20"/>
              </w:rPr>
            </w:pPr>
            <w:r w:rsidRPr="001F0C9A">
              <w:rPr>
                <w:b/>
                <w:color w:val="auto"/>
                <w:sz w:val="20"/>
                <w:szCs w:val="20"/>
              </w:rPr>
              <w:t>Cautious (low)</w:t>
            </w:r>
          </w:p>
        </w:tc>
        <w:tc>
          <w:tcPr>
            <w:tcW w:w="3782" w:type="dxa"/>
            <w:shd w:val="clear" w:color="auto" w:fill="003366"/>
          </w:tcPr>
          <w:p w14:paraId="3C9A17F2" w14:textId="0593D324" w:rsidR="00602B1F" w:rsidRPr="001F0C9A" w:rsidRDefault="00602B1F" w:rsidP="00DF6EB6">
            <w:pPr>
              <w:pStyle w:val="Heading10"/>
              <w:rPr>
                <w:b/>
                <w:color w:val="auto"/>
                <w:sz w:val="20"/>
                <w:szCs w:val="20"/>
              </w:rPr>
            </w:pPr>
            <w:r w:rsidRPr="001F0C9A">
              <w:rPr>
                <w:b/>
                <w:color w:val="auto"/>
                <w:sz w:val="20"/>
                <w:szCs w:val="20"/>
              </w:rPr>
              <w:t>Accepting (medium)</w:t>
            </w:r>
          </w:p>
        </w:tc>
        <w:tc>
          <w:tcPr>
            <w:tcW w:w="3782" w:type="dxa"/>
            <w:shd w:val="clear" w:color="auto" w:fill="003366"/>
          </w:tcPr>
          <w:p w14:paraId="7E957A7A" w14:textId="726E6AE7" w:rsidR="00602B1F" w:rsidRPr="001F0C9A" w:rsidRDefault="00602B1F" w:rsidP="00DF6EB6">
            <w:pPr>
              <w:pStyle w:val="Heading10"/>
              <w:rPr>
                <w:b/>
                <w:color w:val="auto"/>
                <w:sz w:val="20"/>
                <w:szCs w:val="20"/>
              </w:rPr>
            </w:pPr>
            <w:r w:rsidRPr="001F0C9A">
              <w:rPr>
                <w:b/>
                <w:color w:val="auto"/>
                <w:sz w:val="20"/>
                <w:szCs w:val="20"/>
              </w:rPr>
              <w:t>Open (high)</w:t>
            </w:r>
          </w:p>
        </w:tc>
      </w:tr>
      <w:tr w:rsidR="00602B1F" w14:paraId="644D22EC" w14:textId="77777777" w:rsidTr="001F0C9A">
        <w:tc>
          <w:tcPr>
            <w:tcW w:w="3782" w:type="dxa"/>
            <w:shd w:val="clear" w:color="auto" w:fill="auto"/>
          </w:tcPr>
          <w:p w14:paraId="5C1BD531" w14:textId="26CCB167" w:rsidR="00602B1F" w:rsidRPr="001F0C9A" w:rsidRDefault="00602B1F" w:rsidP="00DF6EB6">
            <w:pPr>
              <w:pStyle w:val="Heading10"/>
              <w:rPr>
                <w:color w:val="auto"/>
                <w:sz w:val="18"/>
                <w:szCs w:val="18"/>
              </w:rPr>
            </w:pPr>
            <w:r w:rsidRPr="001F0C9A">
              <w:rPr>
                <w:color w:val="auto"/>
                <w:sz w:val="18"/>
                <w:szCs w:val="18"/>
              </w:rPr>
              <w:t>Avoidance of risk is the main treatment</w:t>
            </w:r>
          </w:p>
        </w:tc>
        <w:tc>
          <w:tcPr>
            <w:tcW w:w="3782" w:type="dxa"/>
            <w:shd w:val="clear" w:color="auto" w:fill="auto"/>
          </w:tcPr>
          <w:p w14:paraId="32CE9078" w14:textId="394C0E7D" w:rsidR="00602B1F" w:rsidRPr="001F0C9A" w:rsidRDefault="00602B1F" w:rsidP="00DF6EB6">
            <w:pPr>
              <w:pStyle w:val="Heading10"/>
              <w:rPr>
                <w:color w:val="auto"/>
                <w:sz w:val="18"/>
                <w:szCs w:val="18"/>
              </w:rPr>
            </w:pPr>
            <w:r w:rsidRPr="001F0C9A">
              <w:rPr>
                <w:color w:val="auto"/>
                <w:sz w:val="18"/>
                <w:szCs w:val="18"/>
              </w:rPr>
              <w:t>Prefer safe options with little risk of adverse exposure for department and/or the government</w:t>
            </w:r>
          </w:p>
        </w:tc>
        <w:tc>
          <w:tcPr>
            <w:tcW w:w="3782" w:type="dxa"/>
            <w:shd w:val="clear" w:color="auto" w:fill="auto"/>
          </w:tcPr>
          <w:p w14:paraId="39891300" w14:textId="500FC1D6" w:rsidR="00602B1F" w:rsidRPr="001F0C9A" w:rsidRDefault="00602B1F" w:rsidP="00DF6EB6">
            <w:pPr>
              <w:pStyle w:val="Heading10"/>
              <w:rPr>
                <w:color w:val="auto"/>
                <w:sz w:val="18"/>
                <w:szCs w:val="18"/>
              </w:rPr>
            </w:pPr>
            <w:r w:rsidRPr="001F0C9A">
              <w:rPr>
                <w:color w:val="auto"/>
                <w:sz w:val="18"/>
                <w:szCs w:val="18"/>
              </w:rPr>
              <w:t>Willing to consider all options and choose the one that is most likely to result in successful delivery while also providing a reasonable degree of the protection from high risks</w:t>
            </w:r>
          </w:p>
        </w:tc>
        <w:tc>
          <w:tcPr>
            <w:tcW w:w="3782" w:type="dxa"/>
            <w:shd w:val="clear" w:color="auto" w:fill="auto"/>
          </w:tcPr>
          <w:p w14:paraId="5AAAC4CF" w14:textId="1B596BF1" w:rsidR="00602B1F" w:rsidRPr="001F0C9A" w:rsidRDefault="00602B1F" w:rsidP="00DF6EB6">
            <w:pPr>
              <w:pStyle w:val="Heading10"/>
              <w:rPr>
                <w:color w:val="auto"/>
                <w:sz w:val="18"/>
                <w:szCs w:val="18"/>
              </w:rPr>
            </w:pPr>
            <w:r w:rsidRPr="001F0C9A">
              <w:rPr>
                <w:color w:val="auto"/>
                <w:sz w:val="18"/>
                <w:szCs w:val="18"/>
              </w:rPr>
              <w:t>Eager to engage with risks and opportunities when the potential benefit is great.</w:t>
            </w:r>
          </w:p>
        </w:tc>
      </w:tr>
    </w:tbl>
    <w:p w14:paraId="6867C37A" w14:textId="0BA24731" w:rsidR="00602B1F" w:rsidRPr="00CF13AD" w:rsidRDefault="00CF13AD" w:rsidP="00DF6EB6">
      <w:pPr>
        <w:pStyle w:val="Heading10"/>
        <w:rPr>
          <w:color w:val="auto"/>
          <w:sz w:val="17"/>
          <w:szCs w:val="17"/>
        </w:rPr>
      </w:pPr>
      <w:r w:rsidRPr="00CF13AD">
        <w:rPr>
          <w:color w:val="auto"/>
          <w:sz w:val="17"/>
          <w:szCs w:val="17"/>
        </w:rPr>
        <w:t>(</w:t>
      </w:r>
      <w:r w:rsidR="00472E23">
        <w:rPr>
          <w:color w:val="auto"/>
          <w:sz w:val="17"/>
          <w:szCs w:val="17"/>
        </w:rPr>
        <w:t>Adapted from</w:t>
      </w:r>
      <w:r>
        <w:rPr>
          <w:color w:val="auto"/>
          <w:sz w:val="17"/>
          <w:szCs w:val="17"/>
        </w:rPr>
        <w:t>: Department of Health, Enterprise Risk Appetite)</w:t>
      </w:r>
    </w:p>
    <w:p w14:paraId="7E3CC54A" w14:textId="193613C9" w:rsidR="008B00A3" w:rsidRPr="00853612" w:rsidRDefault="008B00A3" w:rsidP="00CF13AD">
      <w:pPr>
        <w:pStyle w:val="Heading10"/>
      </w:pPr>
    </w:p>
    <w:sectPr w:rsidR="008B00A3" w:rsidRPr="00853612" w:rsidSect="004B7060">
      <w:headerReference w:type="default" r:id="rId19"/>
      <w:footerReference w:type="default" r:id="rId20"/>
      <w:pgSz w:w="16840" w:h="11900" w:orient="landscape"/>
      <w:pgMar w:top="1418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C230" w14:textId="77777777" w:rsidR="004F3CF4" w:rsidRDefault="004F3CF4" w:rsidP="00E55AC1">
      <w:pPr>
        <w:spacing w:after="0" w:line="240" w:lineRule="auto"/>
      </w:pPr>
      <w:r>
        <w:separator/>
      </w:r>
    </w:p>
    <w:p w14:paraId="3CD38773" w14:textId="77777777" w:rsidR="004F3CF4" w:rsidRDefault="004F3CF4"/>
    <w:p w14:paraId="1A0022B8" w14:textId="77777777" w:rsidR="004F3CF4" w:rsidRDefault="004F3CF4"/>
  </w:endnote>
  <w:endnote w:type="continuationSeparator" w:id="0">
    <w:p w14:paraId="539863DE" w14:textId="77777777" w:rsidR="004F3CF4" w:rsidRDefault="004F3CF4" w:rsidP="00E55AC1">
      <w:pPr>
        <w:spacing w:after="0" w:line="240" w:lineRule="auto"/>
      </w:pPr>
      <w:r>
        <w:continuationSeparator/>
      </w:r>
    </w:p>
    <w:p w14:paraId="183C145E" w14:textId="77777777" w:rsidR="004F3CF4" w:rsidRDefault="004F3CF4"/>
    <w:p w14:paraId="53E61005" w14:textId="77777777" w:rsidR="004F3CF4" w:rsidRDefault="004F3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1942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21602" w14:textId="7520FDAF" w:rsidR="00424B0B" w:rsidRDefault="00424B0B" w:rsidP="00A758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03BC8" w14:textId="77777777" w:rsidR="00E55AC1" w:rsidRDefault="00E55AC1" w:rsidP="00424B0B">
    <w:pPr>
      <w:pStyle w:val="Footer"/>
      <w:ind w:right="360"/>
    </w:pPr>
  </w:p>
  <w:p w14:paraId="1AAFEA62" w14:textId="77777777" w:rsidR="0083408B" w:rsidRDefault="008340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003B71"/>
        <w:sz w:val="12"/>
        <w:szCs w:val="12"/>
      </w:rPr>
      <w:id w:val="-1559617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3F6AAA" w14:textId="7E8B6999" w:rsidR="00424B0B" w:rsidRPr="00424B0B" w:rsidRDefault="00424B0B" w:rsidP="00DA0B7E">
        <w:pPr>
          <w:pStyle w:val="Footer"/>
          <w:framePr w:wrap="none" w:vAnchor="text" w:hAnchor="page" w:x="15378" w:y="389"/>
          <w:rPr>
            <w:rStyle w:val="PageNumber"/>
            <w:color w:val="003B71"/>
            <w:sz w:val="12"/>
            <w:szCs w:val="12"/>
          </w:rPr>
        </w:pPr>
        <w:r>
          <w:rPr>
            <w:rStyle w:val="PageNumber"/>
            <w:color w:val="003B71"/>
            <w:sz w:val="12"/>
            <w:szCs w:val="12"/>
          </w:rPr>
          <w:t xml:space="preserve">pg. </w:t>
        </w:r>
        <w:r w:rsidRPr="00424B0B">
          <w:rPr>
            <w:rStyle w:val="PageNumber"/>
            <w:color w:val="003B71"/>
            <w:sz w:val="12"/>
            <w:szCs w:val="12"/>
          </w:rPr>
          <w:fldChar w:fldCharType="begin"/>
        </w:r>
        <w:r w:rsidRPr="00424B0B">
          <w:rPr>
            <w:rStyle w:val="PageNumber"/>
            <w:color w:val="003B71"/>
            <w:sz w:val="12"/>
            <w:szCs w:val="12"/>
          </w:rPr>
          <w:instrText xml:space="preserve"> PAGE </w:instrText>
        </w:r>
        <w:r w:rsidRPr="00424B0B">
          <w:rPr>
            <w:rStyle w:val="PageNumber"/>
            <w:color w:val="003B71"/>
            <w:sz w:val="12"/>
            <w:szCs w:val="12"/>
          </w:rPr>
          <w:fldChar w:fldCharType="separate"/>
        </w:r>
        <w:r w:rsidR="000F619F">
          <w:rPr>
            <w:rStyle w:val="PageNumber"/>
            <w:noProof/>
            <w:color w:val="003B71"/>
            <w:sz w:val="12"/>
            <w:szCs w:val="12"/>
          </w:rPr>
          <w:t>2</w:t>
        </w:r>
        <w:r w:rsidRPr="00424B0B">
          <w:rPr>
            <w:rStyle w:val="PageNumber"/>
            <w:color w:val="003B71"/>
            <w:sz w:val="12"/>
            <w:szCs w:val="12"/>
          </w:rPr>
          <w:fldChar w:fldCharType="end"/>
        </w:r>
      </w:p>
    </w:sdtContent>
  </w:sdt>
  <w:tbl>
    <w:tblPr>
      <w:tblStyle w:val="TableGrid"/>
      <w:tblW w:w="153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1277"/>
      <w:gridCol w:w="1841"/>
      <w:gridCol w:w="5102"/>
      <w:gridCol w:w="6803"/>
    </w:tblGrid>
    <w:tr w:rsidR="00DA0B7E" w14:paraId="26CA10CC" w14:textId="77777777" w:rsidTr="00422AA6">
      <w:trPr>
        <w:trHeight w:val="85"/>
        <w:jc w:val="center"/>
      </w:trPr>
      <w:tc>
        <w:tcPr>
          <w:tcW w:w="283" w:type="dxa"/>
          <w:tcBorders>
            <w:top w:val="single" w:sz="18" w:space="0" w:color="00A7E1"/>
          </w:tcBorders>
          <w:shd w:val="clear" w:color="auto" w:fill="F2F2F2" w:themeFill="background1" w:themeFillShade="F2"/>
          <w:vAlign w:val="center"/>
        </w:tcPr>
        <w:p w14:paraId="081576D1" w14:textId="3BF96749" w:rsidR="00DA0B7E" w:rsidRPr="004F52A1" w:rsidRDefault="00152BF8" w:rsidP="004F52A1">
          <w:pPr>
            <w:pStyle w:val="Body"/>
            <w:rPr>
              <w:sz w:val="4"/>
              <w:szCs w:val="4"/>
            </w:rPr>
          </w:pPr>
          <w:r>
            <w:rPr>
              <w:sz w:val="4"/>
              <w:szCs w:val="4"/>
            </w:rPr>
            <w:t>1</w:t>
          </w:r>
        </w:p>
      </w:tc>
      <w:tc>
        <w:tcPr>
          <w:tcW w:w="1277" w:type="dxa"/>
          <w:tcBorders>
            <w:top w:val="single" w:sz="18" w:space="0" w:color="00A7E1"/>
          </w:tcBorders>
          <w:shd w:val="clear" w:color="auto" w:fill="F2F2F2" w:themeFill="background1" w:themeFillShade="F2"/>
          <w:vAlign w:val="center"/>
        </w:tcPr>
        <w:p w14:paraId="3A7BD6D0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1841" w:type="dxa"/>
          <w:tcBorders>
            <w:top w:val="single" w:sz="18" w:space="0" w:color="00A7E1"/>
          </w:tcBorders>
          <w:shd w:val="clear" w:color="auto" w:fill="F2F2F2" w:themeFill="background1" w:themeFillShade="F2"/>
          <w:vAlign w:val="center"/>
        </w:tcPr>
        <w:p w14:paraId="3BECCDD1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5102" w:type="dxa"/>
          <w:tcBorders>
            <w:top w:val="single" w:sz="18" w:space="0" w:color="00A7E1"/>
          </w:tcBorders>
          <w:shd w:val="clear" w:color="auto" w:fill="F2F2F2" w:themeFill="background1" w:themeFillShade="F2"/>
          <w:tcMar>
            <w:left w:w="284" w:type="dxa"/>
          </w:tcMar>
          <w:vAlign w:val="center"/>
        </w:tcPr>
        <w:p w14:paraId="06A0A61E" w14:textId="77777777" w:rsidR="00DA0B7E" w:rsidRPr="004F52A1" w:rsidRDefault="00DA0B7E" w:rsidP="004F52A1">
          <w:pPr>
            <w:pStyle w:val="Body"/>
            <w:rPr>
              <w:color w:val="003B70"/>
              <w:sz w:val="4"/>
              <w:szCs w:val="4"/>
            </w:rPr>
          </w:pPr>
        </w:p>
      </w:tc>
      <w:tc>
        <w:tcPr>
          <w:tcW w:w="6803" w:type="dxa"/>
          <w:tcBorders>
            <w:top w:val="single" w:sz="18" w:space="0" w:color="00A7E1"/>
          </w:tcBorders>
          <w:shd w:val="clear" w:color="auto" w:fill="F2F2F2" w:themeFill="background1" w:themeFillShade="F2"/>
          <w:vAlign w:val="center"/>
        </w:tcPr>
        <w:p w14:paraId="5C11828C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</w:tr>
    <w:tr w:rsidR="00DA0B7E" w14:paraId="26C529CC" w14:textId="77777777" w:rsidTr="00422AA6">
      <w:trPr>
        <w:trHeight w:val="567"/>
        <w:jc w:val="center"/>
      </w:trPr>
      <w:tc>
        <w:tcPr>
          <w:tcW w:w="283" w:type="dxa"/>
          <w:shd w:val="clear" w:color="auto" w:fill="F2F2F2" w:themeFill="background1" w:themeFillShade="F2"/>
          <w:vAlign w:val="center"/>
        </w:tcPr>
        <w:p w14:paraId="45AF57A0" w14:textId="77777777" w:rsidR="00DA0B7E" w:rsidRPr="00424B0B" w:rsidRDefault="00DA0B7E" w:rsidP="003455E5">
          <w:pPr>
            <w:pStyle w:val="Body"/>
          </w:pPr>
        </w:p>
      </w:tc>
      <w:tc>
        <w:tcPr>
          <w:tcW w:w="1277" w:type="dxa"/>
          <w:shd w:val="clear" w:color="auto" w:fill="F2F2F2" w:themeFill="background1" w:themeFillShade="F2"/>
          <w:vAlign w:val="center"/>
        </w:tcPr>
        <w:p w14:paraId="5AF7047C" w14:textId="2E557432" w:rsidR="00DA0B7E" w:rsidRPr="009E2C30" w:rsidRDefault="003730EA" w:rsidP="00E664CF">
          <w:pPr>
            <w:pStyle w:val="Footer"/>
            <w:ind w:right="360"/>
            <w:rPr>
              <w:color w:val="003B71"/>
              <w:sz w:val="43"/>
              <w:szCs w:val="43"/>
            </w:rPr>
          </w:pPr>
          <w:r>
            <w:rPr>
              <w:color w:val="003B71"/>
              <w:sz w:val="43"/>
              <w:szCs w:val="43"/>
            </w:rPr>
            <w:t>A6</w:t>
          </w:r>
        </w:p>
      </w:tc>
      <w:tc>
        <w:tcPr>
          <w:tcW w:w="1841" w:type="dxa"/>
          <w:tcBorders>
            <w:right w:val="single" w:sz="4" w:space="0" w:color="003B71"/>
          </w:tcBorders>
          <w:shd w:val="clear" w:color="auto" w:fill="F2F2F2" w:themeFill="background1" w:themeFillShade="F2"/>
          <w:vAlign w:val="center"/>
        </w:tcPr>
        <w:p w14:paraId="5173F77E" w14:textId="5873D73A" w:rsidR="00DA0B7E" w:rsidRPr="009E2C30" w:rsidRDefault="003730EA" w:rsidP="00E664CF">
          <w:pPr>
            <w:pStyle w:val="Body"/>
            <w:rPr>
              <w:color w:val="003B71"/>
            </w:rPr>
          </w:pPr>
          <w:r>
            <w:rPr>
              <w:color w:val="003B71"/>
            </w:rPr>
            <w:t>Articulate</w:t>
          </w:r>
          <w:r w:rsidR="00152BF8">
            <w:rPr>
              <w:color w:val="003B71"/>
            </w:rPr>
            <w:t xml:space="preserve"> </w:t>
          </w:r>
          <w:r w:rsidR="00DA0B7E" w:rsidRPr="009E2C30">
            <w:rPr>
              <w:color w:val="003B71"/>
            </w:rPr>
            <w:t xml:space="preserve">Risk </w:t>
          </w:r>
          <w:r w:rsidR="00422AA6">
            <w:rPr>
              <w:color w:val="003B71"/>
            </w:rPr>
            <w:t>Appetite</w:t>
          </w:r>
          <w:r>
            <w:rPr>
              <w:color w:val="003B71"/>
            </w:rPr>
            <w:t xml:space="preserve"> &amp; Tolerance</w:t>
          </w:r>
          <w:r w:rsidR="00422AA6">
            <w:rPr>
              <w:color w:val="003B71"/>
            </w:rPr>
            <w:t xml:space="preserve"> </w:t>
          </w:r>
        </w:p>
      </w:tc>
      <w:tc>
        <w:tcPr>
          <w:tcW w:w="5102" w:type="dxa"/>
          <w:tcBorders>
            <w:left w:val="single" w:sz="4" w:space="0" w:color="003B71"/>
          </w:tcBorders>
          <w:shd w:val="clear" w:color="auto" w:fill="F2F2F2" w:themeFill="background1" w:themeFillShade="F2"/>
          <w:tcMar>
            <w:left w:w="284" w:type="dxa"/>
          </w:tcMar>
          <w:vAlign w:val="center"/>
        </w:tcPr>
        <w:p w14:paraId="68EA6C92" w14:textId="123D13AF" w:rsidR="00DA0B7E" w:rsidRPr="009E2C30" w:rsidRDefault="00DA0B7E" w:rsidP="00E664CF">
          <w:pPr>
            <w:pStyle w:val="Body"/>
            <w:rPr>
              <w:color w:val="003B71"/>
              <w:sz w:val="13"/>
              <w:szCs w:val="13"/>
            </w:rPr>
          </w:pPr>
          <w:r w:rsidRPr="009E2C30">
            <w:rPr>
              <w:color w:val="003B71"/>
              <w:sz w:val="13"/>
              <w:szCs w:val="13"/>
            </w:rPr>
            <w:t>This document is provided to assist clients establish their risk management processes. Clients are responsible for ensuring they manage their own risks.</w:t>
          </w:r>
        </w:p>
      </w:tc>
      <w:tc>
        <w:tcPr>
          <w:tcW w:w="6803" w:type="dxa"/>
          <w:shd w:val="clear" w:color="auto" w:fill="F2F2F2" w:themeFill="background1" w:themeFillShade="F2"/>
          <w:vAlign w:val="center"/>
        </w:tcPr>
        <w:p w14:paraId="052834A7" w14:textId="77777777" w:rsidR="00DA0B7E" w:rsidRPr="00822A1C" w:rsidRDefault="00DA0B7E" w:rsidP="00E664CF">
          <w:pPr>
            <w:pStyle w:val="Footer"/>
            <w:rPr>
              <w:color w:val="000000" w:themeColor="text1"/>
            </w:rPr>
          </w:pPr>
        </w:p>
        <w:p w14:paraId="0454080A" w14:textId="5895C80B" w:rsidR="00DA0B7E" w:rsidRPr="00822A1C" w:rsidRDefault="00DA0B7E" w:rsidP="00E664CF">
          <w:pPr>
            <w:pStyle w:val="Footer"/>
            <w:rPr>
              <w:color w:val="000000" w:themeColor="text1"/>
            </w:rPr>
          </w:pPr>
        </w:p>
      </w:tc>
    </w:tr>
    <w:tr w:rsidR="00DA0B7E" w14:paraId="51254B90" w14:textId="77777777" w:rsidTr="00422AA6">
      <w:trPr>
        <w:trHeight w:val="57"/>
        <w:jc w:val="center"/>
      </w:trPr>
      <w:tc>
        <w:tcPr>
          <w:tcW w:w="283" w:type="dxa"/>
          <w:shd w:val="clear" w:color="auto" w:fill="F2F2F2" w:themeFill="background1" w:themeFillShade="F2"/>
          <w:vAlign w:val="center"/>
        </w:tcPr>
        <w:p w14:paraId="78CAAB65" w14:textId="77777777" w:rsidR="00DA0B7E" w:rsidRPr="00DA0B7E" w:rsidRDefault="00DA0B7E" w:rsidP="00DA0B7E">
          <w:pPr>
            <w:pStyle w:val="Footer"/>
            <w:ind w:right="360"/>
            <w:rPr>
              <w:color w:val="003B71"/>
              <w:sz w:val="10"/>
              <w:szCs w:val="10"/>
            </w:rPr>
          </w:pPr>
        </w:p>
      </w:tc>
      <w:tc>
        <w:tcPr>
          <w:tcW w:w="1277" w:type="dxa"/>
          <w:shd w:val="clear" w:color="auto" w:fill="F2F2F2" w:themeFill="background1" w:themeFillShade="F2"/>
          <w:vAlign w:val="center"/>
        </w:tcPr>
        <w:p w14:paraId="121E2978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1841" w:type="dxa"/>
          <w:shd w:val="clear" w:color="auto" w:fill="F2F2F2" w:themeFill="background1" w:themeFillShade="F2"/>
          <w:vAlign w:val="center"/>
        </w:tcPr>
        <w:p w14:paraId="2A29AA1A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5102" w:type="dxa"/>
          <w:shd w:val="clear" w:color="auto" w:fill="F2F2F2" w:themeFill="background1" w:themeFillShade="F2"/>
          <w:vAlign w:val="center"/>
        </w:tcPr>
        <w:p w14:paraId="1B6F6231" w14:textId="77777777" w:rsidR="00DA0B7E" w:rsidRPr="004F52A1" w:rsidRDefault="00DA0B7E" w:rsidP="004F52A1">
          <w:pPr>
            <w:pStyle w:val="Body"/>
            <w:rPr>
              <w:color w:val="003B70"/>
              <w:sz w:val="4"/>
              <w:szCs w:val="4"/>
            </w:rPr>
          </w:pPr>
        </w:p>
      </w:tc>
      <w:tc>
        <w:tcPr>
          <w:tcW w:w="6803" w:type="dxa"/>
          <w:shd w:val="clear" w:color="auto" w:fill="F2F2F2" w:themeFill="background1" w:themeFillShade="F2"/>
          <w:vAlign w:val="center"/>
        </w:tcPr>
        <w:p w14:paraId="1B16B4DD" w14:textId="77777777" w:rsidR="00DA0B7E" w:rsidRPr="004F52A1" w:rsidRDefault="00DA0B7E" w:rsidP="004F52A1">
          <w:pPr>
            <w:pStyle w:val="Body"/>
            <w:rPr>
              <w:sz w:val="4"/>
              <w:szCs w:val="4"/>
            </w:rPr>
          </w:pPr>
        </w:p>
      </w:tc>
    </w:tr>
  </w:tbl>
  <w:p w14:paraId="488DDCC0" w14:textId="52BA247B" w:rsidR="0083408B" w:rsidRPr="003455E5" w:rsidRDefault="0083408B" w:rsidP="00520208">
    <w:pPr>
      <w:pStyle w:val="Body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5743" w14:textId="77777777" w:rsidR="009A33F4" w:rsidRDefault="009A33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1134"/>
      <w:gridCol w:w="1984"/>
      <w:gridCol w:w="5102"/>
      <w:gridCol w:w="6803"/>
    </w:tblGrid>
    <w:tr w:rsidR="00754D8C" w14:paraId="094BFF5A" w14:textId="77777777" w:rsidTr="006341D0">
      <w:trPr>
        <w:trHeight w:val="85"/>
        <w:jc w:val="center"/>
      </w:trPr>
      <w:tc>
        <w:tcPr>
          <w:tcW w:w="283" w:type="dxa"/>
          <w:shd w:val="clear" w:color="auto" w:fill="F2F2F2" w:themeFill="background1" w:themeFillShade="F2"/>
        </w:tcPr>
        <w:p w14:paraId="6DF9360E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0C9BA742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1984" w:type="dxa"/>
          <w:shd w:val="clear" w:color="auto" w:fill="F2F2F2" w:themeFill="background1" w:themeFillShade="F2"/>
        </w:tcPr>
        <w:p w14:paraId="4A6C3F4E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5102" w:type="dxa"/>
          <w:shd w:val="clear" w:color="auto" w:fill="F2F2F2" w:themeFill="background1" w:themeFillShade="F2"/>
          <w:tcMar>
            <w:left w:w="284" w:type="dxa"/>
          </w:tcMar>
        </w:tcPr>
        <w:p w14:paraId="35C5733F" w14:textId="77777777" w:rsidR="00754D8C" w:rsidRPr="004F52A1" w:rsidRDefault="00754D8C" w:rsidP="004F52A1">
          <w:pPr>
            <w:pStyle w:val="Body"/>
            <w:rPr>
              <w:color w:val="003B70"/>
              <w:sz w:val="4"/>
              <w:szCs w:val="4"/>
            </w:rPr>
          </w:pPr>
        </w:p>
      </w:tc>
      <w:tc>
        <w:tcPr>
          <w:tcW w:w="6803" w:type="dxa"/>
          <w:shd w:val="clear" w:color="auto" w:fill="F2F2F2" w:themeFill="background1" w:themeFillShade="F2"/>
        </w:tcPr>
        <w:p w14:paraId="72E2FE8B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</w:tr>
  </w:tbl>
  <w:sdt>
    <w:sdtPr>
      <w:rPr>
        <w:rStyle w:val="PageNumber"/>
        <w:color w:val="003B71"/>
        <w:sz w:val="12"/>
        <w:szCs w:val="12"/>
      </w:rPr>
      <w:id w:val="-521626562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7097C5B3" w14:textId="4C38496C" w:rsidR="00210D16" w:rsidRPr="00E664CF" w:rsidRDefault="00210D16" w:rsidP="00210D16">
        <w:pPr>
          <w:pStyle w:val="Footer"/>
          <w:framePr w:wrap="none" w:vAnchor="text" w:hAnchor="page" w:x="15378" w:y="255"/>
          <w:rPr>
            <w:rStyle w:val="PageNumber"/>
            <w:sz w:val="12"/>
            <w:szCs w:val="12"/>
          </w:rPr>
        </w:pPr>
        <w:r w:rsidRPr="00E664CF">
          <w:rPr>
            <w:rStyle w:val="PageNumber"/>
            <w:sz w:val="12"/>
            <w:szCs w:val="12"/>
          </w:rPr>
          <w:t xml:space="preserve">pg. </w:t>
        </w:r>
        <w:r w:rsidRPr="00E664CF">
          <w:rPr>
            <w:rStyle w:val="PageNumber"/>
            <w:sz w:val="12"/>
            <w:szCs w:val="12"/>
          </w:rPr>
          <w:fldChar w:fldCharType="begin"/>
        </w:r>
        <w:r w:rsidRPr="00E664CF">
          <w:rPr>
            <w:rStyle w:val="PageNumber"/>
            <w:sz w:val="12"/>
            <w:szCs w:val="12"/>
          </w:rPr>
          <w:instrText xml:space="preserve"> PAGE </w:instrText>
        </w:r>
        <w:r w:rsidRPr="00E664CF">
          <w:rPr>
            <w:rStyle w:val="PageNumber"/>
            <w:sz w:val="12"/>
            <w:szCs w:val="12"/>
          </w:rPr>
          <w:fldChar w:fldCharType="separate"/>
        </w:r>
        <w:r w:rsidR="000F619F">
          <w:rPr>
            <w:rStyle w:val="PageNumber"/>
            <w:noProof/>
            <w:sz w:val="12"/>
            <w:szCs w:val="12"/>
          </w:rPr>
          <w:t>5</w:t>
        </w:r>
        <w:r w:rsidRPr="00E664CF">
          <w:rPr>
            <w:rStyle w:val="PageNumber"/>
            <w:sz w:val="12"/>
            <w:szCs w:val="12"/>
          </w:rPr>
          <w:fldChar w:fldCharType="end"/>
        </w:r>
      </w:p>
    </w:sdtContent>
  </w:sdt>
  <w:tbl>
    <w:tblPr>
      <w:tblStyle w:val="TableGrid"/>
      <w:tblW w:w="153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"/>
      <w:gridCol w:w="1418"/>
      <w:gridCol w:w="1700"/>
      <w:gridCol w:w="5102"/>
      <w:gridCol w:w="6803"/>
    </w:tblGrid>
    <w:tr w:rsidR="00754D8C" w14:paraId="3F62A9B6" w14:textId="77777777" w:rsidTr="00152BF8">
      <w:trPr>
        <w:trHeight w:val="567"/>
        <w:jc w:val="center"/>
      </w:trPr>
      <w:tc>
        <w:tcPr>
          <w:tcW w:w="283" w:type="dxa"/>
          <w:shd w:val="clear" w:color="auto" w:fill="F2F2F2" w:themeFill="background1" w:themeFillShade="F2"/>
          <w:vAlign w:val="center"/>
        </w:tcPr>
        <w:p w14:paraId="438FE60E" w14:textId="3EA0B270" w:rsidR="00754D8C" w:rsidRPr="006341D0" w:rsidRDefault="00754D8C" w:rsidP="006341D0">
          <w:pPr>
            <w:pStyle w:val="Body"/>
          </w:pPr>
        </w:p>
      </w:tc>
      <w:tc>
        <w:tcPr>
          <w:tcW w:w="1418" w:type="dxa"/>
          <w:shd w:val="clear" w:color="auto" w:fill="F2F2F2" w:themeFill="background1" w:themeFillShade="F2"/>
          <w:vAlign w:val="center"/>
        </w:tcPr>
        <w:p w14:paraId="02797012" w14:textId="5D1F52A2" w:rsidR="00754D8C" w:rsidRPr="00822A1C" w:rsidRDefault="003730EA" w:rsidP="006341D0">
          <w:pPr>
            <w:pStyle w:val="Footer"/>
            <w:ind w:right="360"/>
            <w:rPr>
              <w:color w:val="000000" w:themeColor="text1"/>
              <w:sz w:val="43"/>
              <w:szCs w:val="43"/>
            </w:rPr>
          </w:pPr>
          <w:r>
            <w:rPr>
              <w:color w:val="000000" w:themeColor="text1"/>
              <w:sz w:val="43"/>
              <w:szCs w:val="43"/>
            </w:rPr>
            <w:t>A6</w:t>
          </w:r>
        </w:p>
      </w:tc>
      <w:tc>
        <w:tcPr>
          <w:tcW w:w="1700" w:type="dxa"/>
          <w:tcBorders>
            <w:right w:val="single" w:sz="4" w:space="0" w:color="003B71"/>
          </w:tcBorders>
          <w:shd w:val="clear" w:color="auto" w:fill="F2F2F2" w:themeFill="background1" w:themeFillShade="F2"/>
          <w:vAlign w:val="center"/>
        </w:tcPr>
        <w:p w14:paraId="07CD12DF" w14:textId="1F263C69" w:rsidR="00754D8C" w:rsidRPr="00822A1C" w:rsidRDefault="003730EA" w:rsidP="006341D0">
          <w:pPr>
            <w:pStyle w:val="Body"/>
            <w:rPr>
              <w:color w:val="000000" w:themeColor="text1"/>
            </w:rPr>
          </w:pPr>
          <w:r>
            <w:rPr>
              <w:color w:val="000000" w:themeColor="text1"/>
            </w:rPr>
            <w:t>Articulate</w:t>
          </w:r>
          <w:r w:rsidR="00152BF8">
            <w:rPr>
              <w:color w:val="000000" w:themeColor="text1"/>
            </w:rPr>
            <w:t xml:space="preserve"> </w:t>
          </w:r>
          <w:r w:rsidR="00E664CF">
            <w:rPr>
              <w:color w:val="000000" w:themeColor="text1"/>
            </w:rPr>
            <w:t xml:space="preserve">Risk </w:t>
          </w:r>
          <w:r w:rsidR="00DA60D1">
            <w:rPr>
              <w:color w:val="000000" w:themeColor="text1"/>
            </w:rPr>
            <w:t>Appetite</w:t>
          </w:r>
          <w:r>
            <w:rPr>
              <w:color w:val="000000" w:themeColor="text1"/>
            </w:rPr>
            <w:t xml:space="preserve"> &amp; Tolerance</w:t>
          </w:r>
        </w:p>
      </w:tc>
      <w:tc>
        <w:tcPr>
          <w:tcW w:w="5102" w:type="dxa"/>
          <w:tcBorders>
            <w:left w:val="single" w:sz="4" w:space="0" w:color="003B71"/>
          </w:tcBorders>
          <w:shd w:val="clear" w:color="auto" w:fill="F2F2F2" w:themeFill="background1" w:themeFillShade="F2"/>
          <w:tcMar>
            <w:left w:w="284" w:type="dxa"/>
          </w:tcMar>
          <w:vAlign w:val="center"/>
        </w:tcPr>
        <w:p w14:paraId="6159AE8F" w14:textId="77777777" w:rsidR="00754D8C" w:rsidRPr="00822A1C" w:rsidRDefault="00754D8C" w:rsidP="006341D0">
          <w:pPr>
            <w:pStyle w:val="Body"/>
            <w:rPr>
              <w:color w:val="000000" w:themeColor="text1"/>
              <w:sz w:val="13"/>
              <w:szCs w:val="13"/>
            </w:rPr>
          </w:pPr>
          <w:r w:rsidRPr="00822A1C">
            <w:rPr>
              <w:color w:val="000000" w:themeColor="text1"/>
              <w:sz w:val="13"/>
              <w:szCs w:val="13"/>
            </w:rPr>
            <w:t>This document is provided to assist clients establish their risk management processes. Clients are responsible for ensuring they manage their own risks.</w:t>
          </w:r>
        </w:p>
      </w:tc>
      <w:tc>
        <w:tcPr>
          <w:tcW w:w="6803" w:type="dxa"/>
          <w:shd w:val="clear" w:color="auto" w:fill="F2F2F2" w:themeFill="background1" w:themeFillShade="F2"/>
          <w:vAlign w:val="center"/>
        </w:tcPr>
        <w:p w14:paraId="488A819A" w14:textId="77777777" w:rsidR="00754D8C" w:rsidRPr="00822A1C" w:rsidRDefault="00754D8C" w:rsidP="006341D0">
          <w:pPr>
            <w:pStyle w:val="Footer"/>
            <w:rPr>
              <w:color w:val="000000" w:themeColor="text1"/>
            </w:rPr>
          </w:pPr>
        </w:p>
        <w:p w14:paraId="049ABD73" w14:textId="77777777" w:rsidR="00754D8C" w:rsidRPr="00822A1C" w:rsidRDefault="00754D8C" w:rsidP="006341D0">
          <w:pPr>
            <w:pStyle w:val="Footer"/>
            <w:rPr>
              <w:color w:val="000000" w:themeColor="text1"/>
            </w:rPr>
          </w:pPr>
        </w:p>
      </w:tc>
    </w:tr>
    <w:tr w:rsidR="00754D8C" w14:paraId="63D09A94" w14:textId="77777777" w:rsidTr="00152BF8">
      <w:trPr>
        <w:trHeight w:val="57"/>
        <w:jc w:val="center"/>
      </w:trPr>
      <w:tc>
        <w:tcPr>
          <w:tcW w:w="283" w:type="dxa"/>
          <w:shd w:val="clear" w:color="auto" w:fill="F2F2F2" w:themeFill="background1" w:themeFillShade="F2"/>
        </w:tcPr>
        <w:p w14:paraId="47158927" w14:textId="77777777" w:rsidR="00754D8C" w:rsidRPr="00DA0B7E" w:rsidRDefault="00754D8C" w:rsidP="00DA0B7E">
          <w:pPr>
            <w:pStyle w:val="Footer"/>
            <w:ind w:right="360"/>
            <w:rPr>
              <w:color w:val="003B71"/>
              <w:sz w:val="10"/>
              <w:szCs w:val="10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203B7570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1700" w:type="dxa"/>
          <w:shd w:val="clear" w:color="auto" w:fill="F2F2F2" w:themeFill="background1" w:themeFillShade="F2"/>
        </w:tcPr>
        <w:p w14:paraId="2414FC1E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  <w:tc>
        <w:tcPr>
          <w:tcW w:w="5102" w:type="dxa"/>
          <w:shd w:val="clear" w:color="auto" w:fill="F2F2F2" w:themeFill="background1" w:themeFillShade="F2"/>
        </w:tcPr>
        <w:p w14:paraId="5418C7BD" w14:textId="77777777" w:rsidR="00754D8C" w:rsidRPr="004F52A1" w:rsidRDefault="00754D8C" w:rsidP="004F52A1">
          <w:pPr>
            <w:pStyle w:val="Body"/>
            <w:rPr>
              <w:color w:val="003B70"/>
              <w:sz w:val="4"/>
              <w:szCs w:val="4"/>
            </w:rPr>
          </w:pPr>
        </w:p>
      </w:tc>
      <w:tc>
        <w:tcPr>
          <w:tcW w:w="6803" w:type="dxa"/>
          <w:shd w:val="clear" w:color="auto" w:fill="F2F2F2" w:themeFill="background1" w:themeFillShade="F2"/>
        </w:tcPr>
        <w:p w14:paraId="55B38A61" w14:textId="77777777" w:rsidR="00754D8C" w:rsidRPr="004F52A1" w:rsidRDefault="00754D8C" w:rsidP="004F52A1">
          <w:pPr>
            <w:pStyle w:val="Body"/>
            <w:rPr>
              <w:sz w:val="4"/>
              <w:szCs w:val="4"/>
            </w:rPr>
          </w:pPr>
        </w:p>
      </w:tc>
    </w:tr>
  </w:tbl>
  <w:p w14:paraId="54C71CD2" w14:textId="77777777" w:rsidR="00754D8C" w:rsidRPr="006341D0" w:rsidRDefault="00754D8C" w:rsidP="00520208">
    <w:pPr>
      <w:pStyle w:val="Body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9526" w14:textId="77777777" w:rsidR="004F3CF4" w:rsidRDefault="004F3CF4" w:rsidP="00E55AC1">
      <w:pPr>
        <w:spacing w:after="0" w:line="240" w:lineRule="auto"/>
      </w:pPr>
      <w:r>
        <w:separator/>
      </w:r>
    </w:p>
    <w:p w14:paraId="557B97F6" w14:textId="77777777" w:rsidR="004F3CF4" w:rsidRDefault="004F3CF4"/>
    <w:p w14:paraId="0181AB50" w14:textId="77777777" w:rsidR="004F3CF4" w:rsidRDefault="004F3CF4"/>
  </w:footnote>
  <w:footnote w:type="continuationSeparator" w:id="0">
    <w:p w14:paraId="1A310ADD" w14:textId="77777777" w:rsidR="004F3CF4" w:rsidRDefault="004F3CF4" w:rsidP="00E55AC1">
      <w:pPr>
        <w:spacing w:after="0" w:line="240" w:lineRule="auto"/>
      </w:pPr>
      <w:r>
        <w:continuationSeparator/>
      </w:r>
    </w:p>
    <w:p w14:paraId="667A7E06" w14:textId="77777777" w:rsidR="004F3CF4" w:rsidRDefault="004F3CF4"/>
    <w:p w14:paraId="04419FCC" w14:textId="77777777" w:rsidR="004F3CF4" w:rsidRDefault="004F3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24F8" w14:textId="77777777" w:rsidR="009A33F4" w:rsidRDefault="009A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9F4B" w14:textId="77777777" w:rsidR="009A33F4" w:rsidRDefault="009A3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1CCC" w14:textId="77777777" w:rsidR="009A33F4" w:rsidRDefault="009A33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BB08" w14:textId="4C11A80E" w:rsidR="00511DA2" w:rsidRDefault="00511D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388F571E" wp14:editId="7546C6C7">
              <wp:simplePos x="0" y="0"/>
              <wp:positionH relativeFrom="page">
                <wp:align>center</wp:align>
              </wp:positionH>
              <wp:positionV relativeFrom="page">
                <wp:posOffset>810260</wp:posOffset>
              </wp:positionV>
              <wp:extent cx="9720000" cy="0"/>
              <wp:effectExtent l="0" t="12700" r="2095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A7E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176AD" id="Straight Connector 8" o:spid="_x0000_s1026" style="position:absolute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63.8pt" to="765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Ic2QEAAAIEAAAOAAAAZHJzL2Uyb0RvYy54bWysU8GO0zAQvSPxD5bvNGmlpSVqukJdlguC&#10;ioUPcB27sbA91tg07d8zdtrsChBarbg4GfvNm3lv7PXtyVl2VBgN+JbPZzVnykvojD+0/Pu3+zcr&#10;zmISvhMWvGr5WUV+u3n9aj2ERi2gB9spZETiYzOElvcphaaqouyVE3EGQXk61IBOJArxUHUoBmJ3&#10;tlrU9dtqAOwCglQx0u7deMg3hV9rJdMXraNKzLacektlxbLu81pt1qI5oAi9kZc2xAu6cMJ4KjpR&#10;3Ykk2E80f1A5IxEi6DST4CrQ2khVNJCaef2bmodeBFW0kDkxTDbF/0crPx93yEzXchqUF45G9JBQ&#10;mEOf2Ba8JwMB2Sr7NITYEHzrd3iJYthhFn3S6PKX5LBT8fY8eatOiUnafLekcdU0Ank9qx4TA8b0&#10;UYFj+afl1vgsWzTi+CkmKkbQKyRvW8+Gli9WN8ubAotgTXdvrM2HEQ/7rUV2FHnk9fvlh3nuniie&#10;wCiynjazplFF+Utnq8YCX5UmV6jv+Vgh30c10XY/rpzWEzKnaCo/JdX/Trpgc5oqd/S5iRO6VASf&#10;pkRnPODfqqbTtVU94q+qR61Z9h66c5lpsYMuWnHr8ijyTX4al/THp7v5BQAA//8DAFBLAwQUAAYA&#10;CAAAACEABM6vzd4AAAAJAQAADwAAAGRycy9kb3ducmV2LnhtbEyPQUvDQBCF74L/YRnBi9iNlbYh&#10;ZlNEiUhP2nrxtt0dk8XsbMhu2uivdwqCHue9x5vvlevJd+KAQ3SBFNzMMhBIJlhHjYK3XX2dg4hJ&#10;k9VdIFTwhRHW1flZqQsbjvSKh21qBJdQLLSCNqW+kDKaFr2Os9AjsfcRBq8Tn0Mj7aCPXO47Oc+y&#10;pfTaEX9odY8PLZrP7egVjK7emHyz2Lnvl6vH+PyUN/W7UeryYrq/A5FwSn9hOOEzOlTMtA8j2Sg6&#10;BTwksTpfLUGc7MVttgKx/5VkVcr/C6ofAAAA//8DAFBLAQItABQABgAIAAAAIQC2gziS/gAAAOEB&#10;AAATAAAAAAAAAAAAAAAAAAAAAABbQ29udGVudF9UeXBlc10ueG1sUEsBAi0AFAAGAAgAAAAhADj9&#10;If/WAAAAlAEAAAsAAAAAAAAAAAAAAAAALwEAAF9yZWxzLy5yZWxzUEsBAi0AFAAGAAgAAAAhAExE&#10;AhzZAQAAAgQAAA4AAAAAAAAAAAAAAAAALgIAAGRycy9lMm9Eb2MueG1sUEsBAi0AFAAGAAgAAAAh&#10;AATOr83eAAAACQEAAA8AAAAAAAAAAAAAAAAAMwQAAGRycy9kb3ducmV2LnhtbFBLBQYAAAAABAAE&#10;APMAAAA+BQAAAAA=&#10;" strokecolor="#00a7e1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55" w14:textId="5992F2B8" w:rsidR="00822A1C" w:rsidRDefault="003455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29096C" wp14:editId="395B4DB3">
              <wp:simplePos x="0" y="0"/>
              <wp:positionH relativeFrom="column">
                <wp:posOffset>7965440</wp:posOffset>
              </wp:positionH>
              <wp:positionV relativeFrom="paragraph">
                <wp:posOffset>17780</wp:posOffset>
              </wp:positionV>
              <wp:extent cx="1676400" cy="369751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36975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EA2CAA" w14:textId="77777777" w:rsidR="003455E5" w:rsidRPr="00822A1C" w:rsidRDefault="003455E5" w:rsidP="003455E5">
                          <w:pPr>
                            <w:pStyle w:val="Body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22A1C">
                            <w:rPr>
                              <w:sz w:val="16"/>
                              <w:szCs w:val="16"/>
                            </w:rPr>
                            <w:t>Insert organisation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909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627.2pt;margin-top:1.4pt;width:132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aoVAIAAJ8EAAAOAAAAZHJzL2Uyb0RvYy54bWysVEuP2jAQvlfqf7B8LwksjwURVpQVVSW6&#10;uxJUezaOQyLZHtc2JPTXd+wElm57qnpxPK9vPN/MZP7QKElOwroKdEb7vZQSoTnklT5k9Ptu/eme&#10;EueZzpkELTJ6Fo4+LD5+mNdmJgZQgsyFJQii3aw2GS29N7MkcbwUirkeGKHRWIBVzKNoD0luWY3o&#10;SiaDNB0nNdjcWODCOdQ+tka6iPhFIbh/LgonPJEZxbf5eNp47sOZLOZsdrDMlBXvnsH+4RWKVRqT&#10;XqEemWfkaKs/oFTFLTgofI+DSqAoKi5iDVhNP31XzbZkRsRakBxnrjS5/wfLn04vllR5RieUaKaw&#10;RTvRePIZGjIJ7NTGzdBpa9DNN6jGLl/0DpWh6KawKnyxHIJ25Pl85TaA8RA0noyHKZo42u7G08ko&#10;wiRv0cY6/0WAIuGSUYu9i5Sy08Z5fAm6XlxCMgeyyteVlFEI8yJW0pITw07vD/0YKo/qG+StbjpK&#10;MX2LE8cruEfU35CkJnVGx3ejNCJoCCnaKKnRPfDR1h1uvtk3HUl7yM/IkYV2xpzh6woL2TDnX5jF&#10;ocLacVH8Mx6FBEwC3Y2SEuzPv+mDP/YarZTUOKQZdT+OzApK5FeNUzDtD4dhqqMwHE0GKNhby/7W&#10;oo9qBchOH1fS8HgN/l5eroUF9Yr7tAxZ0cQ0x9wZ5d5ehJVvlwc3kovlMrrhJBvmN3preAAP/QiN&#10;2jWvzJqumx7n4AkuA81m75ra+oZIDcujh6KKHQ8Ut7x2zOMWxJZ1GxvW7FaOXm//lcUvAAAA//8D&#10;AFBLAwQUAAYACAAAACEA1evBEd8AAAAKAQAADwAAAGRycy9kb3ducmV2LnhtbEyPwU7DMBBE70j8&#10;g7VI3KidqK2qNE6FqEDqCTUBcXXibRIR25Httglfz/YEx5l9mp3Jd5MZ2AV96J2VkCwEMLSN071t&#10;JXxUr08bYCEqq9XgLEqYMcCuuL/LVabd1R7xUsaWUYgNmZLQxThmnIemQ6PCwo1o6XZy3qhI0rdc&#10;e3WlcDPwVIg1N6q39KFTI7502HyXZyOhPH691+KtOoT9wTc/82c1p24v5ePD9LwFFnGKfzDc6lN1&#10;KKhT7c5WBzaQTlfLJbESUppwA1bJhoxawjoRwIuc/59Q/AIAAP//AwBQSwECLQAUAAYACAAAACEA&#10;toM4kv4AAADhAQAAEwAAAAAAAAAAAAAAAAAAAAAAW0NvbnRlbnRfVHlwZXNdLnhtbFBLAQItABQA&#10;BgAIAAAAIQA4/SH/1gAAAJQBAAALAAAAAAAAAAAAAAAAAC8BAABfcmVscy8ucmVsc1BLAQItABQA&#10;BgAIAAAAIQDvasaoVAIAAJ8EAAAOAAAAAAAAAAAAAAAAAC4CAABkcnMvZTJvRG9jLnhtbFBLAQIt&#10;ABQABgAIAAAAIQDV68ER3wAAAAoBAAAPAAAAAAAAAAAAAAAAAK4EAABkcnMvZG93bnJldi54bWxQ&#10;SwUGAAAAAAQABADzAAAAugUAAAAA&#10;" fillcolor="#f2f2f2 [3052]" stroked="f" strokeweight=".5pt">
              <v:textbox>
                <w:txbxContent>
                  <w:p w14:paraId="01EA2CAA" w14:textId="77777777" w:rsidR="003455E5" w:rsidRPr="00822A1C" w:rsidRDefault="003455E5" w:rsidP="003455E5">
                    <w:pPr>
                      <w:pStyle w:val="Body"/>
                      <w:jc w:val="center"/>
                      <w:rPr>
                        <w:sz w:val="16"/>
                        <w:szCs w:val="16"/>
                      </w:rPr>
                    </w:pPr>
                    <w:r w:rsidRPr="00822A1C">
                      <w:rPr>
                        <w:sz w:val="16"/>
                        <w:szCs w:val="16"/>
                      </w:rPr>
                      <w:t>Insert organisation logo here</w:t>
                    </w:r>
                  </w:p>
                </w:txbxContent>
              </v:textbox>
            </v:shape>
          </w:pict>
        </mc:Fallback>
      </mc:AlternateContent>
    </w:r>
    <w:r w:rsidR="00822A1C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B4C0E1" wp14:editId="1B32AB81">
              <wp:simplePos x="0" y="0"/>
              <wp:positionH relativeFrom="page">
                <wp:align>center</wp:align>
              </wp:positionH>
              <wp:positionV relativeFrom="page">
                <wp:posOffset>810260</wp:posOffset>
              </wp:positionV>
              <wp:extent cx="9720000" cy="0"/>
              <wp:effectExtent l="0" t="12700" r="2095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AA8DE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63.8pt" to="765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yGvwEAAMgDAAAOAAAAZHJzL2Uyb0RvYy54bWysU02P0zAQvSPxHyzfqdNKyy5R0z10BRcE&#10;FQs/wOvYjYXtscamSf89Y6fNIkAIIS6OP+bNvPdmsr2fvGMnjclC6Ph61XCmg4LehmPHv3x+++qO&#10;s5Rl6KWDoDt+1onf716+2I6x1RsYwPUaGSUJqR1jx4ecYytEUoP2Mq0g6kCPBtDLTEc8ih7lSNm9&#10;E5umeS1GwD4iKJ0S3T7Mj3xX8xujVf5oTNKZuY4Tt1xXrOtTWcVuK9sjyjhYdaEh/4GFlzZQ0SXV&#10;g8ySfUP7SypvFUICk1cKvABjrNJVA6lZNz+peRxk1FULmZPiYlP6f2nVh9MBme07vuEsSE8teswo&#10;7XHIbA8hkIGAbFN8GmNqKXwfDng5pXjAInoy6MuX5LCpentevNVTZoou39xSuxpqgbq+iWdgxJTf&#10;afCsbDrubCiyZStP71OmYhR6DSnXLrCRCN/d3N4UYqIwm7nUXT47PYd90oa0UfV1TVenSu8dspOk&#10;eei/riu8JKTIAjHWuQXU/Bl0iS0wXSftb4FLdK0IIS9AbwPg76rm6UrVzPFX1bPWIvsJ+nPtTLWD&#10;xqXadhntMo8/niv8+QfcfQcAAP//AwBQSwMEFAAGAAgAAAAhAMjv9dDcAAAACQEAAA8AAABkcnMv&#10;ZG93bnJldi54bWxMj0FLw0AQhe+C/2EZwYvYjQ22JWZTRPCioLaWnqfZSTa4Oxuymzb+e7cg6HHe&#10;e7z5XrmenBVHGkLnWcHdLANBXHvdcatg9/l8uwIRIrJG65kUfFOAdXV5UWKh/Yk3dNzGVqQSDgUq&#10;MDH2hZShNuQwzHxPnLzGDw5jOodW6gFPqdxZOc+yhXTYcfpgsKcnQ/XXdnQKhvG9ebV5/lLv8QPN&#10;ZnfThLdRqeur6fEBRKQp/oXhjJ/QoUpMBz+yDsIqSENiUufLBYizfZ9nSxCHX0lWpfy/oPoBAAD/&#10;/wMAUEsBAi0AFAAGAAgAAAAhALaDOJL+AAAA4QEAABMAAAAAAAAAAAAAAAAAAAAAAFtDb250ZW50&#10;X1R5cGVzXS54bWxQSwECLQAUAAYACAAAACEAOP0h/9YAAACUAQAACwAAAAAAAAAAAAAAAAAvAQAA&#10;X3JlbHMvLnJlbHNQSwECLQAUAAYACAAAACEAjAdchr8BAADIAwAADgAAAAAAAAAAAAAAAAAuAgAA&#10;ZHJzL2Uyb0RvYy54bWxQSwECLQAUAAYACAAAACEAyO/10NwAAAAJAQAADwAAAAAAAAAAAAAAAAAZ&#10;BAAAZHJzL2Rvd25yZXYueG1sUEsFBgAAAAAEAAQA8wAAACIFAAAAAA==&#10;" strokecolor="black [3200]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340" w:hanging="170"/>
      </w:pPr>
      <w:rPr>
        <w:rFonts w:ascii="Calibri" w:hAnsi="Calibri"/>
        <w:b w:val="0"/>
        <w:w w:val="66"/>
        <w:sz w:val="20"/>
      </w:rPr>
    </w:lvl>
    <w:lvl w:ilvl="1">
      <w:numFmt w:val="bullet"/>
      <w:lvlText w:val="•"/>
      <w:lvlJc w:val="left"/>
      <w:pPr>
        <w:ind w:left="963" w:hanging="170"/>
      </w:pPr>
    </w:lvl>
    <w:lvl w:ilvl="2">
      <w:numFmt w:val="bullet"/>
      <w:lvlText w:val="•"/>
      <w:lvlJc w:val="left"/>
      <w:pPr>
        <w:ind w:left="1586" w:hanging="170"/>
      </w:pPr>
    </w:lvl>
    <w:lvl w:ilvl="3">
      <w:numFmt w:val="bullet"/>
      <w:lvlText w:val="•"/>
      <w:lvlJc w:val="left"/>
      <w:pPr>
        <w:ind w:left="2209" w:hanging="170"/>
      </w:pPr>
    </w:lvl>
    <w:lvl w:ilvl="4">
      <w:numFmt w:val="bullet"/>
      <w:lvlText w:val="•"/>
      <w:lvlJc w:val="left"/>
      <w:pPr>
        <w:ind w:left="2832" w:hanging="170"/>
      </w:pPr>
    </w:lvl>
    <w:lvl w:ilvl="5">
      <w:numFmt w:val="bullet"/>
      <w:lvlText w:val="•"/>
      <w:lvlJc w:val="left"/>
      <w:pPr>
        <w:ind w:left="3455" w:hanging="170"/>
      </w:pPr>
    </w:lvl>
    <w:lvl w:ilvl="6">
      <w:numFmt w:val="bullet"/>
      <w:lvlText w:val="•"/>
      <w:lvlJc w:val="left"/>
      <w:pPr>
        <w:ind w:left="4078" w:hanging="170"/>
      </w:pPr>
    </w:lvl>
    <w:lvl w:ilvl="7">
      <w:numFmt w:val="bullet"/>
      <w:lvlText w:val="•"/>
      <w:lvlJc w:val="left"/>
      <w:pPr>
        <w:ind w:left="4702" w:hanging="170"/>
      </w:pPr>
    </w:lvl>
    <w:lvl w:ilvl="8">
      <w:numFmt w:val="bullet"/>
      <w:lvlText w:val="•"/>
      <w:lvlJc w:val="left"/>
      <w:pPr>
        <w:ind w:left="5325" w:hanging="170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40" w:hanging="170"/>
      </w:pPr>
      <w:rPr>
        <w:rFonts w:ascii="Calibri" w:hAnsi="Calibri"/>
        <w:b w:val="0"/>
        <w:w w:val="66"/>
        <w:sz w:val="20"/>
      </w:rPr>
    </w:lvl>
    <w:lvl w:ilvl="1">
      <w:numFmt w:val="bullet"/>
      <w:lvlText w:val="•"/>
      <w:lvlJc w:val="left"/>
      <w:pPr>
        <w:ind w:left="963" w:hanging="170"/>
      </w:pPr>
    </w:lvl>
    <w:lvl w:ilvl="2">
      <w:numFmt w:val="bullet"/>
      <w:lvlText w:val="•"/>
      <w:lvlJc w:val="left"/>
      <w:pPr>
        <w:ind w:left="1586" w:hanging="170"/>
      </w:pPr>
    </w:lvl>
    <w:lvl w:ilvl="3">
      <w:numFmt w:val="bullet"/>
      <w:lvlText w:val="•"/>
      <w:lvlJc w:val="left"/>
      <w:pPr>
        <w:ind w:left="2209" w:hanging="170"/>
      </w:pPr>
    </w:lvl>
    <w:lvl w:ilvl="4">
      <w:numFmt w:val="bullet"/>
      <w:lvlText w:val="•"/>
      <w:lvlJc w:val="left"/>
      <w:pPr>
        <w:ind w:left="2832" w:hanging="170"/>
      </w:pPr>
    </w:lvl>
    <w:lvl w:ilvl="5">
      <w:numFmt w:val="bullet"/>
      <w:lvlText w:val="•"/>
      <w:lvlJc w:val="left"/>
      <w:pPr>
        <w:ind w:left="3455" w:hanging="170"/>
      </w:pPr>
    </w:lvl>
    <w:lvl w:ilvl="6">
      <w:numFmt w:val="bullet"/>
      <w:lvlText w:val="•"/>
      <w:lvlJc w:val="left"/>
      <w:pPr>
        <w:ind w:left="4078" w:hanging="170"/>
      </w:pPr>
    </w:lvl>
    <w:lvl w:ilvl="7">
      <w:numFmt w:val="bullet"/>
      <w:lvlText w:val="•"/>
      <w:lvlJc w:val="left"/>
      <w:pPr>
        <w:ind w:left="4702" w:hanging="170"/>
      </w:pPr>
    </w:lvl>
    <w:lvl w:ilvl="8">
      <w:numFmt w:val="bullet"/>
      <w:lvlText w:val="•"/>
      <w:lvlJc w:val="left"/>
      <w:pPr>
        <w:ind w:left="5325" w:hanging="170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340" w:hanging="170"/>
      </w:pPr>
      <w:rPr>
        <w:rFonts w:ascii="Calibri" w:hAnsi="Calibri"/>
        <w:b w:val="0"/>
        <w:w w:val="66"/>
        <w:sz w:val="20"/>
      </w:rPr>
    </w:lvl>
    <w:lvl w:ilvl="1">
      <w:numFmt w:val="bullet"/>
      <w:lvlText w:val="•"/>
      <w:lvlJc w:val="left"/>
      <w:pPr>
        <w:ind w:left="963" w:hanging="170"/>
      </w:pPr>
    </w:lvl>
    <w:lvl w:ilvl="2">
      <w:numFmt w:val="bullet"/>
      <w:lvlText w:val="•"/>
      <w:lvlJc w:val="left"/>
      <w:pPr>
        <w:ind w:left="1586" w:hanging="170"/>
      </w:pPr>
    </w:lvl>
    <w:lvl w:ilvl="3">
      <w:numFmt w:val="bullet"/>
      <w:lvlText w:val="•"/>
      <w:lvlJc w:val="left"/>
      <w:pPr>
        <w:ind w:left="2209" w:hanging="170"/>
      </w:pPr>
    </w:lvl>
    <w:lvl w:ilvl="4">
      <w:numFmt w:val="bullet"/>
      <w:lvlText w:val="•"/>
      <w:lvlJc w:val="left"/>
      <w:pPr>
        <w:ind w:left="2832" w:hanging="170"/>
      </w:pPr>
    </w:lvl>
    <w:lvl w:ilvl="5">
      <w:numFmt w:val="bullet"/>
      <w:lvlText w:val="•"/>
      <w:lvlJc w:val="left"/>
      <w:pPr>
        <w:ind w:left="3455" w:hanging="170"/>
      </w:pPr>
    </w:lvl>
    <w:lvl w:ilvl="6">
      <w:numFmt w:val="bullet"/>
      <w:lvlText w:val="•"/>
      <w:lvlJc w:val="left"/>
      <w:pPr>
        <w:ind w:left="4078" w:hanging="170"/>
      </w:pPr>
    </w:lvl>
    <w:lvl w:ilvl="7">
      <w:numFmt w:val="bullet"/>
      <w:lvlText w:val="•"/>
      <w:lvlJc w:val="left"/>
      <w:pPr>
        <w:ind w:left="4702" w:hanging="170"/>
      </w:pPr>
    </w:lvl>
    <w:lvl w:ilvl="8">
      <w:numFmt w:val="bullet"/>
      <w:lvlText w:val="•"/>
      <w:lvlJc w:val="left"/>
      <w:pPr>
        <w:ind w:left="5325" w:hanging="170"/>
      </w:pPr>
    </w:lvl>
  </w:abstractNum>
  <w:abstractNum w:abstractNumId="3" w15:restartNumberingAfterBreak="0">
    <w:nsid w:val="03102178"/>
    <w:multiLevelType w:val="multilevel"/>
    <w:tmpl w:val="FA066CA8"/>
    <w:styleLink w:val="BulletLis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1" w:hanging="357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0C69499D"/>
    <w:multiLevelType w:val="multilevel"/>
    <w:tmpl w:val="FB323AC4"/>
    <w:lvl w:ilvl="0">
      <w:start w:val="1"/>
      <w:numFmt w:val="bullet"/>
      <w:pStyle w:val="ListBullet"/>
      <w:lvlText w:val="&gt;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1" w:hanging="357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D5F3656"/>
    <w:multiLevelType w:val="hybridMultilevel"/>
    <w:tmpl w:val="A502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A2EC9"/>
    <w:multiLevelType w:val="hybridMultilevel"/>
    <w:tmpl w:val="2654D6B0"/>
    <w:lvl w:ilvl="0" w:tplc="D3C2377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1F0"/>
    <w:multiLevelType w:val="multilevel"/>
    <w:tmpl w:val="9CD4F0A8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b w:val="0"/>
        <w:w w:val="66"/>
        <w:sz w:val="20"/>
      </w:rPr>
    </w:lvl>
    <w:lvl w:ilvl="1">
      <w:numFmt w:val="bullet"/>
      <w:lvlText w:val="•"/>
      <w:lvlJc w:val="left"/>
      <w:pPr>
        <w:ind w:left="963" w:hanging="170"/>
      </w:pPr>
    </w:lvl>
    <w:lvl w:ilvl="2">
      <w:numFmt w:val="bullet"/>
      <w:lvlText w:val="•"/>
      <w:lvlJc w:val="left"/>
      <w:pPr>
        <w:ind w:left="1586" w:hanging="170"/>
      </w:pPr>
    </w:lvl>
    <w:lvl w:ilvl="3">
      <w:numFmt w:val="bullet"/>
      <w:lvlText w:val="•"/>
      <w:lvlJc w:val="left"/>
      <w:pPr>
        <w:ind w:left="2209" w:hanging="170"/>
      </w:pPr>
    </w:lvl>
    <w:lvl w:ilvl="4">
      <w:numFmt w:val="bullet"/>
      <w:lvlText w:val="•"/>
      <w:lvlJc w:val="left"/>
      <w:pPr>
        <w:ind w:left="2832" w:hanging="170"/>
      </w:pPr>
    </w:lvl>
    <w:lvl w:ilvl="5">
      <w:numFmt w:val="bullet"/>
      <w:lvlText w:val="•"/>
      <w:lvlJc w:val="left"/>
      <w:pPr>
        <w:ind w:left="3455" w:hanging="170"/>
      </w:pPr>
    </w:lvl>
    <w:lvl w:ilvl="6">
      <w:numFmt w:val="bullet"/>
      <w:lvlText w:val="•"/>
      <w:lvlJc w:val="left"/>
      <w:pPr>
        <w:ind w:left="4078" w:hanging="170"/>
      </w:pPr>
    </w:lvl>
    <w:lvl w:ilvl="7">
      <w:numFmt w:val="bullet"/>
      <w:lvlText w:val="•"/>
      <w:lvlJc w:val="left"/>
      <w:pPr>
        <w:ind w:left="4702" w:hanging="170"/>
      </w:pPr>
    </w:lvl>
    <w:lvl w:ilvl="8">
      <w:numFmt w:val="bullet"/>
      <w:lvlText w:val="•"/>
      <w:lvlJc w:val="left"/>
      <w:pPr>
        <w:ind w:left="5325" w:hanging="170"/>
      </w:pPr>
    </w:lvl>
  </w:abstractNum>
  <w:abstractNum w:abstractNumId="8" w15:restartNumberingAfterBreak="0">
    <w:nsid w:val="1AA60F96"/>
    <w:multiLevelType w:val="hybridMultilevel"/>
    <w:tmpl w:val="2C9CC0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D38B7"/>
    <w:multiLevelType w:val="hybridMultilevel"/>
    <w:tmpl w:val="25B0512C"/>
    <w:lvl w:ilvl="0" w:tplc="662C2C90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2448"/>
    <w:multiLevelType w:val="hybridMultilevel"/>
    <w:tmpl w:val="25B610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37CA7"/>
    <w:multiLevelType w:val="hybridMultilevel"/>
    <w:tmpl w:val="E46A6E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57008D"/>
    <w:multiLevelType w:val="hybridMultilevel"/>
    <w:tmpl w:val="8506B1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D339A"/>
    <w:multiLevelType w:val="multilevel"/>
    <w:tmpl w:val="4F9448CC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b w:val="0"/>
        <w:w w:val="66"/>
        <w:sz w:val="20"/>
      </w:rPr>
    </w:lvl>
    <w:lvl w:ilvl="1">
      <w:numFmt w:val="bullet"/>
      <w:lvlText w:val="•"/>
      <w:lvlJc w:val="left"/>
      <w:pPr>
        <w:ind w:left="963" w:hanging="170"/>
      </w:pPr>
    </w:lvl>
    <w:lvl w:ilvl="2">
      <w:numFmt w:val="bullet"/>
      <w:lvlText w:val="•"/>
      <w:lvlJc w:val="left"/>
      <w:pPr>
        <w:ind w:left="1586" w:hanging="170"/>
      </w:pPr>
    </w:lvl>
    <w:lvl w:ilvl="3">
      <w:numFmt w:val="bullet"/>
      <w:lvlText w:val="•"/>
      <w:lvlJc w:val="left"/>
      <w:pPr>
        <w:ind w:left="2209" w:hanging="170"/>
      </w:pPr>
    </w:lvl>
    <w:lvl w:ilvl="4">
      <w:numFmt w:val="bullet"/>
      <w:lvlText w:val="•"/>
      <w:lvlJc w:val="left"/>
      <w:pPr>
        <w:ind w:left="2832" w:hanging="170"/>
      </w:pPr>
    </w:lvl>
    <w:lvl w:ilvl="5">
      <w:numFmt w:val="bullet"/>
      <w:lvlText w:val="•"/>
      <w:lvlJc w:val="left"/>
      <w:pPr>
        <w:ind w:left="3455" w:hanging="170"/>
      </w:pPr>
    </w:lvl>
    <w:lvl w:ilvl="6">
      <w:numFmt w:val="bullet"/>
      <w:lvlText w:val="•"/>
      <w:lvlJc w:val="left"/>
      <w:pPr>
        <w:ind w:left="4078" w:hanging="170"/>
      </w:pPr>
    </w:lvl>
    <w:lvl w:ilvl="7">
      <w:numFmt w:val="bullet"/>
      <w:lvlText w:val="•"/>
      <w:lvlJc w:val="left"/>
      <w:pPr>
        <w:ind w:left="4702" w:hanging="170"/>
      </w:pPr>
    </w:lvl>
    <w:lvl w:ilvl="8">
      <w:numFmt w:val="bullet"/>
      <w:lvlText w:val="•"/>
      <w:lvlJc w:val="left"/>
      <w:pPr>
        <w:ind w:left="5325" w:hanging="170"/>
      </w:pPr>
    </w:lvl>
  </w:abstractNum>
  <w:abstractNum w:abstractNumId="14" w15:restartNumberingAfterBreak="0">
    <w:nsid w:val="5AEB373F"/>
    <w:multiLevelType w:val="hybridMultilevel"/>
    <w:tmpl w:val="4EF0C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04AE0"/>
    <w:multiLevelType w:val="hybridMultilevel"/>
    <w:tmpl w:val="7B3C1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1194D"/>
    <w:multiLevelType w:val="multilevel"/>
    <w:tmpl w:val="FA066CA8"/>
    <w:numStyleLink w:val="BulletList"/>
  </w:abstractNum>
  <w:abstractNum w:abstractNumId="17" w15:restartNumberingAfterBreak="0">
    <w:nsid w:val="70DD0C29"/>
    <w:multiLevelType w:val="hybridMultilevel"/>
    <w:tmpl w:val="7390E976"/>
    <w:lvl w:ilvl="0" w:tplc="D0C4A5B6">
      <w:start w:val="1"/>
      <w:numFmt w:val="bullet"/>
      <w:pStyle w:val="Style1"/>
      <w:lvlText w:val=""/>
      <w:lvlJc w:val="left"/>
      <w:pPr>
        <w:ind w:left="720" w:hanging="3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4FB1"/>
    <w:multiLevelType w:val="hybridMultilevel"/>
    <w:tmpl w:val="D9900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908B2"/>
    <w:multiLevelType w:val="hybridMultilevel"/>
    <w:tmpl w:val="8320F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F6C89"/>
    <w:multiLevelType w:val="hybridMultilevel"/>
    <w:tmpl w:val="49720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  <w:num w:numId="17">
    <w:abstractNumId w:val="20"/>
  </w:num>
  <w:num w:numId="18">
    <w:abstractNumId w:val="5"/>
  </w:num>
  <w:num w:numId="19">
    <w:abstractNumId w:val="15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1E"/>
    <w:rsid w:val="00015E52"/>
    <w:rsid w:val="00016F23"/>
    <w:rsid w:val="000338EB"/>
    <w:rsid w:val="00041714"/>
    <w:rsid w:val="00087A18"/>
    <w:rsid w:val="000A0EAA"/>
    <w:rsid w:val="000A6A7E"/>
    <w:rsid w:val="000B1F61"/>
    <w:rsid w:val="000B3CF2"/>
    <w:rsid w:val="000C3343"/>
    <w:rsid w:val="000D2B95"/>
    <w:rsid w:val="000E4132"/>
    <w:rsid w:val="000F3164"/>
    <w:rsid w:val="000F619F"/>
    <w:rsid w:val="000F6941"/>
    <w:rsid w:val="000F6E21"/>
    <w:rsid w:val="00107B22"/>
    <w:rsid w:val="001201BE"/>
    <w:rsid w:val="00120226"/>
    <w:rsid w:val="0014280A"/>
    <w:rsid w:val="00144D5B"/>
    <w:rsid w:val="00152BF8"/>
    <w:rsid w:val="00172822"/>
    <w:rsid w:val="001745B5"/>
    <w:rsid w:val="001775A5"/>
    <w:rsid w:val="00182EA9"/>
    <w:rsid w:val="0018736F"/>
    <w:rsid w:val="001A67A6"/>
    <w:rsid w:val="001B2FB0"/>
    <w:rsid w:val="001C15B7"/>
    <w:rsid w:val="001F0C9A"/>
    <w:rsid w:val="001F6F84"/>
    <w:rsid w:val="00210D16"/>
    <w:rsid w:val="00214B5A"/>
    <w:rsid w:val="002246E0"/>
    <w:rsid w:val="002471BB"/>
    <w:rsid w:val="002604E5"/>
    <w:rsid w:val="0026339B"/>
    <w:rsid w:val="00266602"/>
    <w:rsid w:val="00282CFA"/>
    <w:rsid w:val="00286C63"/>
    <w:rsid w:val="0029607E"/>
    <w:rsid w:val="002A584F"/>
    <w:rsid w:val="002A59BF"/>
    <w:rsid w:val="002C5501"/>
    <w:rsid w:val="002D0D20"/>
    <w:rsid w:val="002D5BF4"/>
    <w:rsid w:val="0032078D"/>
    <w:rsid w:val="00334139"/>
    <w:rsid w:val="003429EF"/>
    <w:rsid w:val="00343B3D"/>
    <w:rsid w:val="0034441E"/>
    <w:rsid w:val="00345201"/>
    <w:rsid w:val="003455E5"/>
    <w:rsid w:val="00350D00"/>
    <w:rsid w:val="003549EA"/>
    <w:rsid w:val="003730EA"/>
    <w:rsid w:val="00390F4D"/>
    <w:rsid w:val="003B034F"/>
    <w:rsid w:val="003B4D3E"/>
    <w:rsid w:val="003C3DDB"/>
    <w:rsid w:val="003C5F42"/>
    <w:rsid w:val="003C77A8"/>
    <w:rsid w:val="003E0F95"/>
    <w:rsid w:val="003F2288"/>
    <w:rsid w:val="0041256A"/>
    <w:rsid w:val="00422AA6"/>
    <w:rsid w:val="00424B0B"/>
    <w:rsid w:val="004340D2"/>
    <w:rsid w:val="00442AA8"/>
    <w:rsid w:val="00472E23"/>
    <w:rsid w:val="00486D13"/>
    <w:rsid w:val="00494D5C"/>
    <w:rsid w:val="004974EA"/>
    <w:rsid w:val="004A0494"/>
    <w:rsid w:val="004A52E6"/>
    <w:rsid w:val="004B1315"/>
    <w:rsid w:val="004B7060"/>
    <w:rsid w:val="004D70A2"/>
    <w:rsid w:val="004E4B60"/>
    <w:rsid w:val="004E7D2F"/>
    <w:rsid w:val="004F3CF4"/>
    <w:rsid w:val="004F52A1"/>
    <w:rsid w:val="00511DA2"/>
    <w:rsid w:val="00520208"/>
    <w:rsid w:val="0052516E"/>
    <w:rsid w:val="00537FDE"/>
    <w:rsid w:val="005557E6"/>
    <w:rsid w:val="00577A4C"/>
    <w:rsid w:val="005851D5"/>
    <w:rsid w:val="00587F16"/>
    <w:rsid w:val="005B1ED8"/>
    <w:rsid w:val="005E3F0C"/>
    <w:rsid w:val="005F3EEF"/>
    <w:rsid w:val="00602B1F"/>
    <w:rsid w:val="00633122"/>
    <w:rsid w:val="006341D0"/>
    <w:rsid w:val="006524BF"/>
    <w:rsid w:val="00653701"/>
    <w:rsid w:val="0066735E"/>
    <w:rsid w:val="00670270"/>
    <w:rsid w:val="006D4CAC"/>
    <w:rsid w:val="006E1D9F"/>
    <w:rsid w:val="00710620"/>
    <w:rsid w:val="00737990"/>
    <w:rsid w:val="00754D8C"/>
    <w:rsid w:val="00754DA8"/>
    <w:rsid w:val="00762A50"/>
    <w:rsid w:val="00770C7A"/>
    <w:rsid w:val="00782D1E"/>
    <w:rsid w:val="0078629A"/>
    <w:rsid w:val="007A3678"/>
    <w:rsid w:val="007A4F7C"/>
    <w:rsid w:val="007B0903"/>
    <w:rsid w:val="007B2584"/>
    <w:rsid w:val="007C4568"/>
    <w:rsid w:val="007C65D5"/>
    <w:rsid w:val="007D37BC"/>
    <w:rsid w:val="007F1D79"/>
    <w:rsid w:val="0081442F"/>
    <w:rsid w:val="0082182D"/>
    <w:rsid w:val="00822A1C"/>
    <w:rsid w:val="0083408B"/>
    <w:rsid w:val="00853612"/>
    <w:rsid w:val="008562A3"/>
    <w:rsid w:val="00856C11"/>
    <w:rsid w:val="00877CBA"/>
    <w:rsid w:val="008B00A3"/>
    <w:rsid w:val="008C0F96"/>
    <w:rsid w:val="008C1FD1"/>
    <w:rsid w:val="008C4D2A"/>
    <w:rsid w:val="008C5DE9"/>
    <w:rsid w:val="008E55C2"/>
    <w:rsid w:val="00911F6E"/>
    <w:rsid w:val="009503EC"/>
    <w:rsid w:val="00953DB9"/>
    <w:rsid w:val="0096663A"/>
    <w:rsid w:val="0098156B"/>
    <w:rsid w:val="00986C25"/>
    <w:rsid w:val="00990507"/>
    <w:rsid w:val="009A33F4"/>
    <w:rsid w:val="009B090E"/>
    <w:rsid w:val="009C146C"/>
    <w:rsid w:val="009D7014"/>
    <w:rsid w:val="009E2C30"/>
    <w:rsid w:val="009F097F"/>
    <w:rsid w:val="00A00E1E"/>
    <w:rsid w:val="00A41946"/>
    <w:rsid w:val="00A42004"/>
    <w:rsid w:val="00A437AB"/>
    <w:rsid w:val="00A47063"/>
    <w:rsid w:val="00A66A77"/>
    <w:rsid w:val="00A7061F"/>
    <w:rsid w:val="00A75748"/>
    <w:rsid w:val="00A81912"/>
    <w:rsid w:val="00AE205D"/>
    <w:rsid w:val="00AF07F4"/>
    <w:rsid w:val="00AF4466"/>
    <w:rsid w:val="00B27AFF"/>
    <w:rsid w:val="00B41A99"/>
    <w:rsid w:val="00B45FC0"/>
    <w:rsid w:val="00B540AA"/>
    <w:rsid w:val="00B75C13"/>
    <w:rsid w:val="00B75C40"/>
    <w:rsid w:val="00B841D8"/>
    <w:rsid w:val="00BA0D3A"/>
    <w:rsid w:val="00BB4078"/>
    <w:rsid w:val="00BB4587"/>
    <w:rsid w:val="00BB7EAA"/>
    <w:rsid w:val="00BF5532"/>
    <w:rsid w:val="00C01A37"/>
    <w:rsid w:val="00C154F6"/>
    <w:rsid w:val="00C7371A"/>
    <w:rsid w:val="00C77AF9"/>
    <w:rsid w:val="00CB288A"/>
    <w:rsid w:val="00CB3199"/>
    <w:rsid w:val="00CC3F07"/>
    <w:rsid w:val="00CC7B6D"/>
    <w:rsid w:val="00CD316F"/>
    <w:rsid w:val="00CE3665"/>
    <w:rsid w:val="00CE4002"/>
    <w:rsid w:val="00CF13AD"/>
    <w:rsid w:val="00D27346"/>
    <w:rsid w:val="00D35208"/>
    <w:rsid w:val="00D42C29"/>
    <w:rsid w:val="00D569B0"/>
    <w:rsid w:val="00D57E36"/>
    <w:rsid w:val="00D732A3"/>
    <w:rsid w:val="00D91E11"/>
    <w:rsid w:val="00D92835"/>
    <w:rsid w:val="00D92F51"/>
    <w:rsid w:val="00DA0B7E"/>
    <w:rsid w:val="00DA60D1"/>
    <w:rsid w:val="00DB7578"/>
    <w:rsid w:val="00DC0D31"/>
    <w:rsid w:val="00DC7574"/>
    <w:rsid w:val="00DC7AC1"/>
    <w:rsid w:val="00DD0B30"/>
    <w:rsid w:val="00DF6EB6"/>
    <w:rsid w:val="00E25C64"/>
    <w:rsid w:val="00E557F5"/>
    <w:rsid w:val="00E55AC1"/>
    <w:rsid w:val="00E664CF"/>
    <w:rsid w:val="00E715B2"/>
    <w:rsid w:val="00EA7BC4"/>
    <w:rsid w:val="00ED2E53"/>
    <w:rsid w:val="00EF530A"/>
    <w:rsid w:val="00F04FDE"/>
    <w:rsid w:val="00F107BF"/>
    <w:rsid w:val="00F35C3E"/>
    <w:rsid w:val="00F4305C"/>
    <w:rsid w:val="00F65510"/>
    <w:rsid w:val="00F92652"/>
    <w:rsid w:val="00F94291"/>
    <w:rsid w:val="00FB2677"/>
    <w:rsid w:val="00FB4964"/>
    <w:rsid w:val="00FB5CB8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173CB"/>
  <w14:defaultImageDpi w14:val="32767"/>
  <w15:chartTrackingRefBased/>
  <w15:docId w15:val="{40355125-6C43-2B4D-82DC-11D28FD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7"/>
        <w:szCs w:val="17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5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D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82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82D1E"/>
    <w:pPr>
      <w:keepNext/>
      <w:keepLines/>
      <w:numPr>
        <w:ilvl w:val="2"/>
      </w:numPr>
      <w:tabs>
        <w:tab w:val="num" w:pos="0"/>
        <w:tab w:val="left" w:pos="1418"/>
        <w:tab w:val="left" w:pos="1701"/>
        <w:tab w:val="left" w:pos="1985"/>
      </w:tabs>
      <w:spacing w:before="60"/>
      <w:outlineLvl w:val="2"/>
    </w:pPr>
    <w:rPr>
      <w:rFonts w:eastAsia="Times New Roman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782D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2D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ListParagraph">
    <w:name w:val="List Paragraph"/>
    <w:basedOn w:val="Body"/>
    <w:uiPriority w:val="34"/>
    <w:qFormat/>
    <w:rsid w:val="00782D1E"/>
    <w:pPr>
      <w:ind w:left="709"/>
      <w:contextualSpacing/>
    </w:pPr>
  </w:style>
  <w:style w:type="paragraph" w:customStyle="1" w:styleId="Heading10">
    <w:name w:val="Heading_1"/>
    <w:qFormat/>
    <w:rsid w:val="006341D0"/>
    <w:pPr>
      <w:spacing w:before="50" w:after="100"/>
    </w:pPr>
    <w:rPr>
      <w:rFonts w:eastAsiaTheme="majorEastAsia" w:cstheme="majorBidi"/>
      <w:bCs/>
      <w:color w:val="00A7E1"/>
      <w:sz w:val="30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F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A1"/>
  </w:style>
  <w:style w:type="paragraph" w:styleId="Footer">
    <w:name w:val="footer"/>
    <w:basedOn w:val="Normal"/>
    <w:link w:val="FooterChar"/>
    <w:uiPriority w:val="99"/>
    <w:unhideWhenUsed/>
    <w:rsid w:val="00E5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C1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E5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24B0B"/>
  </w:style>
  <w:style w:type="paragraph" w:customStyle="1" w:styleId="TableBoldBodyBlue">
    <w:name w:val="Table_BoldBody_Blue"/>
    <w:qFormat/>
    <w:rsid w:val="000F3164"/>
    <w:rPr>
      <w:rFonts w:eastAsia="Times New Roman"/>
      <w:b/>
      <w:color w:val="00A7E1"/>
      <w:lang w:val="en-AU" w:eastAsia="en-AU"/>
    </w:rPr>
  </w:style>
  <w:style w:type="paragraph" w:customStyle="1" w:styleId="Bullets">
    <w:name w:val="Bullets"/>
    <w:qFormat/>
    <w:rsid w:val="002471BB"/>
    <w:pPr>
      <w:numPr>
        <w:numId w:val="2"/>
      </w:numPr>
      <w:spacing w:before="5"/>
      <w:ind w:left="284" w:hanging="249"/>
    </w:pPr>
    <w:rPr>
      <w:color w:val="000000"/>
      <w:lang w:val="en-AU" w:eastAsia="en-AU"/>
    </w:rPr>
  </w:style>
  <w:style w:type="paragraph" w:customStyle="1" w:styleId="FooterTitle">
    <w:name w:val="Footer_Title"/>
    <w:basedOn w:val="Normal"/>
    <w:uiPriority w:val="99"/>
    <w:rsid w:val="004F52A1"/>
    <w:pPr>
      <w:tabs>
        <w:tab w:val="right" w:pos="10488"/>
      </w:tabs>
      <w:suppressAutoHyphens/>
      <w:autoSpaceDE w:val="0"/>
      <w:autoSpaceDN w:val="0"/>
      <w:adjustRightInd w:val="0"/>
      <w:spacing w:before="57" w:after="0" w:line="180" w:lineRule="atLeast"/>
      <w:textAlignment w:val="center"/>
    </w:pPr>
    <w:rPr>
      <w:color w:val="003B70"/>
    </w:rPr>
  </w:style>
  <w:style w:type="paragraph" w:customStyle="1" w:styleId="Copyright">
    <w:name w:val="Copyright"/>
    <w:qFormat/>
    <w:rsid w:val="001201BE"/>
    <w:pPr>
      <w:spacing w:before="60"/>
    </w:pPr>
    <w:rPr>
      <w:b/>
      <w:bCs/>
      <w:color w:val="003B71"/>
    </w:rPr>
  </w:style>
  <w:style w:type="paragraph" w:customStyle="1" w:styleId="NumberedBullets">
    <w:name w:val="Numbered_Bullets"/>
    <w:qFormat/>
    <w:rsid w:val="000F3164"/>
    <w:pPr>
      <w:numPr>
        <w:numId w:val="4"/>
      </w:numPr>
      <w:spacing w:before="30"/>
      <w:ind w:left="284" w:hanging="284"/>
    </w:pPr>
    <w:rPr>
      <w:rFonts w:eastAsia="Times New Roman"/>
      <w:lang w:val="en-AU" w:eastAsia="en-AU"/>
    </w:rPr>
  </w:style>
  <w:style w:type="paragraph" w:customStyle="1" w:styleId="TableHeading">
    <w:name w:val="Table_Heading"/>
    <w:qFormat/>
    <w:rsid w:val="00911F6E"/>
    <w:pPr>
      <w:spacing w:before="40" w:after="40"/>
    </w:pPr>
    <w:rPr>
      <w:rFonts w:eastAsia="Times New Roman"/>
      <w:b/>
      <w:color w:val="FFFFFF" w:themeColor="background1"/>
      <w:sz w:val="20"/>
      <w:szCs w:val="20"/>
      <w:lang w:val="en-AU" w:eastAsia="en-AU"/>
    </w:rPr>
  </w:style>
  <w:style w:type="paragraph" w:customStyle="1" w:styleId="Title1">
    <w:name w:val="Title_1"/>
    <w:basedOn w:val="Heading1"/>
    <w:qFormat/>
    <w:rsid w:val="00710620"/>
    <w:pPr>
      <w:ind w:left="426"/>
    </w:pPr>
    <w:rPr>
      <w:rFonts w:ascii="Arial" w:hAnsi="Arial" w:cs="Arial"/>
      <w:b w:val="0"/>
      <w:color w:val="FFFFFF" w:themeColor="background1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43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305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4"/>
    <w:qFormat/>
    <w:rsid w:val="009D7014"/>
    <w:pPr>
      <w:numPr>
        <w:numId w:val="11"/>
      </w:numPr>
      <w:spacing w:after="20" w:line="240" w:lineRule="auto"/>
      <w:ind w:left="550" w:hanging="284"/>
      <w:contextualSpacing/>
      <w:outlineLvl w:val="0"/>
    </w:pPr>
    <w:rPr>
      <w:rFonts w:cstheme="minorBidi"/>
      <w:lang w:val="en-AU"/>
    </w:rPr>
  </w:style>
  <w:style w:type="paragraph" w:customStyle="1" w:styleId="TableParagraph">
    <w:name w:val="Table Paragraph"/>
    <w:basedOn w:val="Normal"/>
    <w:uiPriority w:val="1"/>
    <w:qFormat/>
    <w:rsid w:val="009D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numbering" w:customStyle="1" w:styleId="BulletList">
    <w:name w:val="Bullet List"/>
    <w:uiPriority w:val="99"/>
    <w:rsid w:val="0078629A"/>
    <w:pPr>
      <w:numPr>
        <w:numId w:val="6"/>
      </w:numPr>
    </w:pPr>
  </w:style>
  <w:style w:type="paragraph" w:styleId="BodyText">
    <w:name w:val="Body Text"/>
    <w:basedOn w:val="Normal"/>
    <w:link w:val="BodyTextChar"/>
    <w:uiPriority w:val="1"/>
    <w:qFormat/>
    <w:rsid w:val="009D7014"/>
    <w:pPr>
      <w:widowControl w:val="0"/>
      <w:autoSpaceDE w:val="0"/>
      <w:autoSpaceDN w:val="0"/>
      <w:adjustRightInd w:val="0"/>
      <w:spacing w:before="72" w:after="0" w:line="240" w:lineRule="auto"/>
      <w:ind w:left="340" w:hanging="170"/>
    </w:pPr>
    <w:rPr>
      <w:rFonts w:ascii="Calibri" w:eastAsia="Times New Roman" w:hAnsi="Calibri" w:cs="Calibri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9D7014"/>
    <w:rPr>
      <w:rFonts w:ascii="Calibri" w:eastAsia="Times New Roman" w:hAnsi="Calibri" w:cs="Calibri"/>
      <w:sz w:val="20"/>
      <w:szCs w:val="20"/>
      <w:lang w:val="en-AU" w:eastAsia="en-AU"/>
    </w:rPr>
  </w:style>
  <w:style w:type="paragraph" w:customStyle="1" w:styleId="Style1">
    <w:name w:val="Style1"/>
    <w:qFormat/>
    <w:rsid w:val="009D7014"/>
    <w:pPr>
      <w:numPr>
        <w:numId w:val="10"/>
      </w:numPr>
    </w:pPr>
    <w:rPr>
      <w:color w:val="00000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24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745B5"/>
    <w:rPr>
      <w:sz w:val="16"/>
      <w:szCs w:val="16"/>
    </w:rPr>
  </w:style>
  <w:style w:type="paragraph" w:customStyle="1" w:styleId="TableBody">
    <w:name w:val="Table_Body"/>
    <w:qFormat/>
    <w:rsid w:val="000F3164"/>
    <w:rPr>
      <w:rFonts w:eastAsiaTheme="minorEastAsia"/>
      <w:lang w:val="en-US" w:eastAsia="en-AU"/>
    </w:rPr>
  </w:style>
  <w:style w:type="paragraph" w:styleId="NormalWeb">
    <w:name w:val="Normal (Web)"/>
    <w:basedOn w:val="Normal"/>
    <w:uiPriority w:val="99"/>
    <w:semiHidden/>
    <w:unhideWhenUsed/>
    <w:rsid w:val="003E0F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vmia.vic.gov.au/vgrmfresource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BD9F-268B-4992-899A-606B1ADB1C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E3EB32-9171-4818-8961-9A84890F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A6 - Articulate Risk Appetite &amp; Tolerance</vt:lpstr>
    </vt:vector>
  </TitlesOfParts>
  <Company>VMIA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A6 - Articulate Risk Appetite &amp; Tolerance</dc:title>
  <dc:subject>This guide includes questions, considerations and supporting material which will help you to articulate your risk appetite and tolerance.</dc:subject>
  <dc:creator>VMIA</dc:creator>
  <cp:keywords>risk, management, pratice, guide, template, glossary</cp:keywords>
  <dc:description/>
  <cp:lastModifiedBy>Peter McKay</cp:lastModifiedBy>
  <cp:revision>12</cp:revision>
  <cp:lastPrinted>2019-03-15T00:50:00Z</cp:lastPrinted>
  <dcterms:created xsi:type="dcterms:W3CDTF">2019-02-13T21:35:00Z</dcterms:created>
  <dcterms:modified xsi:type="dcterms:W3CDTF">2019-07-29T01:36:00Z</dcterms:modified>
</cp:coreProperties>
</file>